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江苏常熟农</w:t>
      </w:r>
      <w:r>
        <w:rPr>
          <w:rFonts w:hint="eastAsia" w:ascii="仿宋" w:hAnsi="仿宋" w:eastAsia="仿宋" w:cs="仿宋"/>
          <w:b/>
          <w:color w:val="auto"/>
          <w:sz w:val="28"/>
          <w:szCs w:val="28"/>
          <w:highlight w:val="none"/>
        </w:rPr>
        <w:t>村商业银行股份有限公司</w:t>
      </w:r>
    </w:p>
    <w:p>
      <w:pPr>
        <w:tabs>
          <w:tab w:val="left" w:pos="8280"/>
        </w:tabs>
        <w:spacing w:line="480" w:lineRule="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招标编号：</w:t>
      </w:r>
      <w:r>
        <w:rPr>
          <w:rFonts w:hint="eastAsia" w:ascii="仿宋" w:hAnsi="仿宋" w:eastAsia="仿宋" w:cs="仿宋"/>
          <w:b/>
          <w:color w:val="auto"/>
          <w:sz w:val="28"/>
          <w:szCs w:val="28"/>
          <w:highlight w:val="none"/>
          <w:lang w:val="en-US" w:eastAsia="zh-CN"/>
        </w:rPr>
        <w:t>20210067</w:t>
      </w:r>
    </w:p>
    <w:p>
      <w:pPr>
        <w:tabs>
          <w:tab w:val="left" w:pos="8280"/>
        </w:tabs>
        <w:spacing w:line="480" w:lineRule="auto"/>
        <w:rPr>
          <w:rFonts w:hint="eastAsia" w:ascii="仿宋" w:hAnsi="仿宋" w:eastAsia="仿宋" w:cs="仿宋"/>
          <w:b/>
          <w:color w:val="auto"/>
          <w:sz w:val="28"/>
        </w:rPr>
      </w:pPr>
    </w:p>
    <w:p>
      <w:pPr>
        <w:tabs>
          <w:tab w:val="left" w:pos="8280"/>
        </w:tabs>
        <w:spacing w:line="480" w:lineRule="auto"/>
        <w:rPr>
          <w:rFonts w:hint="eastAsia" w:ascii="仿宋" w:hAnsi="仿宋" w:eastAsia="仿宋" w:cs="仿宋"/>
          <w:b/>
          <w:color w:val="auto"/>
          <w:sz w:val="28"/>
        </w:rPr>
      </w:pPr>
    </w:p>
    <w:p>
      <w:pPr>
        <w:tabs>
          <w:tab w:val="left" w:pos="8280"/>
        </w:tabs>
        <w:spacing w:line="480" w:lineRule="auto"/>
        <w:rPr>
          <w:rFonts w:hint="eastAsia" w:ascii="仿宋" w:hAnsi="仿宋" w:eastAsia="仿宋" w:cs="仿宋"/>
          <w:b/>
          <w:color w:val="auto"/>
          <w:sz w:val="28"/>
        </w:rPr>
      </w:pPr>
    </w:p>
    <w:p>
      <w:pPr>
        <w:tabs>
          <w:tab w:val="left" w:pos="8280"/>
        </w:tabs>
        <w:spacing w:line="480" w:lineRule="auto"/>
        <w:rPr>
          <w:rFonts w:hint="eastAsia" w:ascii="仿宋" w:hAnsi="仿宋" w:eastAsia="仿宋" w:cs="仿宋"/>
          <w:b/>
          <w:color w:val="auto"/>
          <w:sz w:val="28"/>
        </w:rPr>
      </w:pPr>
    </w:p>
    <w:p>
      <w:pPr>
        <w:pStyle w:val="19"/>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z w:val="44"/>
          <w:szCs w:val="44"/>
        </w:rPr>
      </w:pPr>
      <w:r>
        <w:rPr>
          <w:rFonts w:hint="eastAsia" w:ascii="仿宋" w:hAnsi="仿宋" w:eastAsia="仿宋" w:cs="仿宋"/>
          <w:color w:val="auto"/>
          <w:sz w:val="44"/>
          <w:szCs w:val="44"/>
        </w:rPr>
        <w:t>江苏常熟农村商业银行股份有限公司</w:t>
      </w:r>
    </w:p>
    <w:p>
      <w:pPr>
        <w:pStyle w:val="19"/>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z w:val="44"/>
          <w:szCs w:val="44"/>
        </w:rPr>
      </w:pPr>
      <w:r>
        <w:rPr>
          <w:rFonts w:hint="eastAsia" w:ascii="仿宋" w:hAnsi="仿宋" w:eastAsia="仿宋" w:cs="仿宋"/>
          <w:color w:val="auto"/>
          <w:sz w:val="44"/>
          <w:szCs w:val="44"/>
        </w:rPr>
        <w:t>招标书</w:t>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autoSpaceDE w:val="0"/>
        <w:autoSpaceDN w:val="0"/>
        <w:adjustRightInd w:val="0"/>
        <w:spacing w:line="560" w:lineRule="atLeast"/>
        <w:jc w:val="center"/>
        <w:rPr>
          <w:rFonts w:hint="eastAsia" w:ascii="仿宋" w:hAnsi="仿宋" w:eastAsia="仿宋" w:cs="仿宋"/>
          <w:b/>
          <w:bCs/>
          <w:snapToGrid w:val="0"/>
          <w:color w:val="auto"/>
          <w:sz w:val="32"/>
        </w:rPr>
      </w:pPr>
    </w:p>
    <w:p>
      <w:pPr>
        <w:autoSpaceDE w:val="0"/>
        <w:autoSpaceDN w:val="0"/>
        <w:adjustRightInd w:val="0"/>
        <w:spacing w:line="560" w:lineRule="atLeast"/>
        <w:jc w:val="center"/>
        <w:rPr>
          <w:rFonts w:hint="eastAsia" w:ascii="仿宋" w:hAnsi="仿宋" w:eastAsia="仿宋" w:cs="仿宋"/>
          <w:b/>
          <w:bCs/>
          <w:snapToGrid w:val="0"/>
          <w:color w:val="auto"/>
          <w:sz w:val="32"/>
        </w:rPr>
      </w:pPr>
    </w:p>
    <w:p>
      <w:pPr>
        <w:autoSpaceDE w:val="0"/>
        <w:autoSpaceDN w:val="0"/>
        <w:adjustRightInd w:val="0"/>
        <w:spacing w:line="560" w:lineRule="atLeast"/>
        <w:jc w:val="center"/>
        <w:rPr>
          <w:rFonts w:hint="eastAsia" w:ascii="仿宋" w:hAnsi="仿宋" w:eastAsia="仿宋" w:cs="仿宋"/>
          <w:b/>
          <w:bCs/>
          <w:snapToGrid w:val="0"/>
          <w:color w:val="auto"/>
          <w:sz w:val="32"/>
        </w:rPr>
      </w:pPr>
    </w:p>
    <w:p>
      <w:pPr>
        <w:autoSpaceDE w:val="0"/>
        <w:autoSpaceDN w:val="0"/>
        <w:adjustRightInd w:val="0"/>
        <w:spacing w:line="560" w:lineRule="atLeast"/>
        <w:jc w:val="center"/>
        <w:rPr>
          <w:rFonts w:hint="eastAsia" w:ascii="仿宋" w:hAnsi="仿宋" w:eastAsia="仿宋" w:cs="仿宋"/>
          <w:b/>
          <w:bCs/>
          <w:snapToGrid w:val="0"/>
          <w:color w:val="auto"/>
          <w:sz w:val="32"/>
        </w:rPr>
      </w:pPr>
    </w:p>
    <w:p>
      <w:pPr>
        <w:autoSpaceDE w:val="0"/>
        <w:autoSpaceDN w:val="0"/>
        <w:adjustRightInd w:val="0"/>
        <w:spacing w:line="560" w:lineRule="atLeast"/>
        <w:jc w:val="center"/>
        <w:rPr>
          <w:rFonts w:hint="eastAsia" w:ascii="仿宋" w:hAnsi="仿宋" w:eastAsia="仿宋" w:cs="仿宋"/>
          <w:b/>
          <w:bCs/>
          <w:snapToGrid w:val="0"/>
          <w:color w:val="auto"/>
          <w:sz w:val="32"/>
        </w:rPr>
      </w:pPr>
    </w:p>
    <w:p>
      <w:pPr>
        <w:autoSpaceDE w:val="0"/>
        <w:autoSpaceDN w:val="0"/>
        <w:adjustRightInd w:val="0"/>
        <w:spacing w:line="560" w:lineRule="atLeast"/>
        <w:ind w:firstLine="624"/>
        <w:jc w:val="center"/>
        <w:rPr>
          <w:rFonts w:hint="eastAsia" w:ascii="仿宋" w:hAnsi="仿宋" w:eastAsia="仿宋" w:cs="仿宋"/>
          <w:b/>
          <w:snapToGrid w:val="0"/>
          <w:color w:val="auto"/>
          <w:sz w:val="28"/>
          <w:szCs w:val="28"/>
          <w:highlight w:val="yellow"/>
          <w:lang w:eastAsia="zh-CN"/>
        </w:rPr>
      </w:pPr>
      <w:r>
        <w:rPr>
          <w:rFonts w:hint="eastAsia" w:ascii="仿宋" w:hAnsi="仿宋" w:eastAsia="仿宋" w:cs="仿宋"/>
          <w:b/>
          <w:snapToGrid w:val="0"/>
          <w:color w:val="auto"/>
          <w:sz w:val="30"/>
          <w:szCs w:val="30"/>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 w:hAnsi="仿宋" w:eastAsia="仿宋" w:cs="仿宋"/>
          <w:b w:val="0"/>
          <w:bCs/>
          <w:snapToGrid w:val="0"/>
          <w:color w:val="auto"/>
          <w:sz w:val="32"/>
          <w:szCs w:val="32"/>
          <w:highlight w:val="none"/>
        </w:rPr>
      </w:pPr>
      <w:r>
        <w:rPr>
          <w:rFonts w:hint="eastAsia" w:ascii="仿宋" w:hAnsi="仿宋" w:eastAsia="仿宋" w:cs="仿宋"/>
          <w:b w:val="0"/>
          <w:bCs/>
          <w:snapToGrid w:val="0"/>
          <w:color w:val="auto"/>
          <w:sz w:val="32"/>
          <w:szCs w:val="32"/>
          <w:highlight w:val="none"/>
          <w:lang w:val="en-US" w:eastAsia="zh-CN"/>
        </w:rPr>
        <w:t>2021</w:t>
      </w:r>
      <w:r>
        <w:rPr>
          <w:rFonts w:hint="eastAsia" w:ascii="仿宋" w:hAnsi="仿宋" w:eastAsia="仿宋" w:cs="仿宋"/>
          <w:b w:val="0"/>
          <w:bCs/>
          <w:snapToGrid w:val="0"/>
          <w:color w:val="auto"/>
          <w:sz w:val="32"/>
          <w:szCs w:val="32"/>
          <w:highlight w:val="none"/>
          <w:lang w:eastAsia="zh-CN"/>
        </w:rPr>
        <w:t>年</w:t>
      </w:r>
      <w:r>
        <w:rPr>
          <w:rFonts w:hint="eastAsia" w:ascii="仿宋" w:hAnsi="仿宋" w:eastAsia="仿宋" w:cs="仿宋"/>
          <w:b w:val="0"/>
          <w:bCs/>
          <w:snapToGrid w:val="0"/>
          <w:color w:val="auto"/>
          <w:sz w:val="32"/>
          <w:szCs w:val="32"/>
          <w:highlight w:val="none"/>
          <w:lang w:val="en-US" w:eastAsia="zh-CN"/>
        </w:rPr>
        <w:t>12</w:t>
      </w:r>
      <w:r>
        <w:rPr>
          <w:rFonts w:hint="eastAsia" w:ascii="仿宋" w:hAnsi="仿宋" w:eastAsia="仿宋" w:cs="仿宋"/>
          <w:b w:val="0"/>
          <w:bCs/>
          <w:snapToGrid w:val="0"/>
          <w:color w:val="auto"/>
          <w:sz w:val="32"/>
          <w:szCs w:val="32"/>
          <w:highlight w:val="none"/>
        </w:rPr>
        <w:t>月</w:t>
      </w:r>
      <w:r>
        <w:rPr>
          <w:rFonts w:hint="eastAsia" w:ascii="仿宋" w:hAnsi="仿宋" w:eastAsia="仿宋" w:cs="仿宋"/>
          <w:b w:val="0"/>
          <w:bCs/>
          <w:snapToGrid w:val="0"/>
          <w:color w:val="auto"/>
          <w:sz w:val="32"/>
          <w:szCs w:val="32"/>
          <w:highlight w:val="none"/>
          <w:lang w:val="en-US" w:eastAsia="zh-CN"/>
        </w:rPr>
        <w:t>16</w:t>
      </w:r>
      <w:r>
        <w:rPr>
          <w:rFonts w:hint="eastAsia" w:ascii="仿宋" w:hAnsi="仿宋" w:eastAsia="仿宋" w:cs="仿宋"/>
          <w:b w:val="0"/>
          <w:bCs/>
          <w:snapToGrid w:val="0"/>
          <w:color w:val="auto"/>
          <w:sz w:val="32"/>
          <w:szCs w:val="32"/>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 w:hAnsi="仿宋" w:eastAsia="仿宋" w:cs="仿宋"/>
          <w:b/>
          <w:bCs/>
          <w:snapToGrid w:val="0"/>
          <w:color w:val="auto"/>
          <w:sz w:val="32"/>
        </w:rPr>
      </w:pPr>
      <w:r>
        <w:rPr>
          <w:rFonts w:hint="eastAsia" w:ascii="仿宋" w:hAnsi="仿宋" w:eastAsia="仿宋" w:cs="仿宋"/>
          <w:b/>
          <w:bCs/>
          <w:snapToGrid w:val="0"/>
          <w:color w:val="auto"/>
          <w:sz w:val="32"/>
        </w:rPr>
        <w:br w:type="page"/>
      </w:r>
      <w:r>
        <w:rPr>
          <w:rFonts w:hint="eastAsia" w:ascii="仿宋" w:hAnsi="仿宋" w:eastAsia="仿宋" w:cs="仿宋"/>
          <w:b/>
          <w:bCs/>
          <w:snapToGrid w:val="0"/>
          <w:color w:val="auto"/>
          <w:sz w:val="32"/>
        </w:rPr>
        <w:t>申   明</w:t>
      </w:r>
    </w:p>
    <w:p>
      <w:pPr>
        <w:autoSpaceDE w:val="0"/>
        <w:autoSpaceDN w:val="0"/>
        <w:adjustRightInd w:val="0"/>
        <w:spacing w:line="560" w:lineRule="atLeast"/>
        <w:ind w:firstLine="624"/>
        <w:jc w:val="center"/>
        <w:rPr>
          <w:rFonts w:hint="eastAsia" w:ascii="仿宋" w:hAnsi="仿宋" w:eastAsia="仿宋" w:cs="仿宋"/>
          <w:b/>
          <w:bCs/>
          <w:snapToGrid w:val="0"/>
          <w:color w:val="auto"/>
          <w:sz w:val="32"/>
        </w:rPr>
      </w:pPr>
    </w:p>
    <w:p>
      <w:pPr>
        <w:wordWrap w:val="0"/>
        <w:autoSpaceDE w:val="0"/>
        <w:autoSpaceDN w:val="0"/>
        <w:adjustRightInd w:val="0"/>
        <w:spacing w:line="560" w:lineRule="atLeast"/>
        <w:ind w:firstLine="624"/>
        <w:rPr>
          <w:rFonts w:hint="eastAsia" w:ascii="仿宋" w:hAnsi="仿宋" w:eastAsia="仿宋" w:cs="仿宋"/>
          <w:snapToGrid w:val="0"/>
          <w:color w:val="auto"/>
          <w:sz w:val="28"/>
        </w:rPr>
      </w:pPr>
      <w:r>
        <w:rPr>
          <w:rFonts w:hint="eastAsia" w:ascii="仿宋" w:hAnsi="仿宋" w:eastAsia="仿宋" w:cs="仿宋"/>
          <w:snapToGrid w:val="0"/>
          <w:color w:val="auto"/>
          <w:sz w:val="28"/>
        </w:rPr>
        <w:t>本招标文件专用于江苏常熟农村商业银行股份有限公司本次“</w:t>
      </w:r>
      <w:r>
        <w:rPr>
          <w:rFonts w:hint="eastAsia" w:ascii="仿宋" w:hAnsi="仿宋" w:eastAsia="仿宋" w:cs="仿宋"/>
          <w:snapToGrid w:val="0"/>
          <w:color w:val="auto"/>
          <w:sz w:val="28"/>
          <w:highlight w:val="none"/>
          <w:u w:val="single"/>
          <w:lang w:val="en-US" w:eastAsia="zh-CN"/>
        </w:rPr>
        <w:t>财富管理系统</w:t>
      </w:r>
      <w:r>
        <w:rPr>
          <w:rFonts w:hint="eastAsia" w:ascii="仿宋" w:hAnsi="仿宋" w:eastAsia="仿宋" w:cs="仿宋"/>
          <w:snapToGrid w:val="0"/>
          <w:color w:val="auto"/>
          <w:sz w:val="28"/>
          <w:highlight w:val="none"/>
          <w:u w:val="single"/>
        </w:rPr>
        <w:t>项目</w:t>
      </w:r>
      <w:r>
        <w:rPr>
          <w:rFonts w:hint="eastAsia" w:ascii="仿宋" w:hAnsi="仿宋" w:eastAsia="仿宋" w:cs="仿宋"/>
          <w:snapToGrid w:val="0"/>
          <w:color w:val="auto"/>
          <w:sz w:val="28"/>
          <w:highlight w:val="none"/>
        </w:rPr>
        <w:t>”进</w:t>
      </w:r>
      <w:r>
        <w:rPr>
          <w:rFonts w:hint="eastAsia" w:ascii="仿宋" w:hAnsi="仿宋" w:eastAsia="仿宋" w:cs="仿宋"/>
          <w:snapToGrid w:val="0"/>
          <w:color w:val="auto"/>
          <w:sz w:val="28"/>
        </w:rPr>
        <w:t>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4"/>
        <w:spacing w:after="240"/>
        <w:jc w:val="center"/>
        <w:rPr>
          <w:rFonts w:hint="eastAsia" w:ascii="仿宋" w:hAnsi="仿宋" w:eastAsia="仿宋" w:cs="仿宋"/>
          <w:b/>
          <w:bCs/>
          <w:snapToGrid w:val="0"/>
          <w:color w:val="auto"/>
          <w:sz w:val="30"/>
          <w:szCs w:val="30"/>
        </w:rPr>
      </w:pPr>
      <w:r>
        <w:rPr>
          <w:rFonts w:hint="eastAsia" w:ascii="仿宋" w:hAnsi="仿宋" w:eastAsia="仿宋" w:cs="仿宋"/>
          <w:snapToGrid w:val="0"/>
          <w:color w:val="auto"/>
        </w:rPr>
        <w:br w:type="page"/>
      </w:r>
      <w:r>
        <w:rPr>
          <w:rFonts w:hint="eastAsia" w:ascii="仿宋" w:hAnsi="仿宋" w:eastAsia="仿宋" w:cs="仿宋"/>
          <w:b/>
          <w:snapToGrid w:val="0"/>
          <w:color w:val="auto"/>
          <w:szCs w:val="28"/>
        </w:rPr>
        <w:t>第一部分</w:t>
      </w:r>
      <w:r>
        <w:rPr>
          <w:rFonts w:hint="eastAsia" w:ascii="仿宋" w:hAnsi="仿宋" w:eastAsia="仿宋" w:cs="仿宋"/>
          <w:b/>
          <w:snapToGrid w:val="0"/>
          <w:color w:val="auto"/>
          <w:szCs w:val="28"/>
          <w:lang w:val="en-US" w:eastAsia="zh-CN"/>
        </w:rPr>
        <w:t xml:space="preserve">  </w:t>
      </w:r>
      <w:r>
        <w:rPr>
          <w:rFonts w:hint="eastAsia" w:ascii="仿宋" w:hAnsi="仿宋" w:eastAsia="仿宋" w:cs="仿宋"/>
          <w:b/>
          <w:snapToGrid w:val="0"/>
          <w:color w:val="auto"/>
          <w:szCs w:val="28"/>
        </w:rPr>
        <w:t>投标</w:t>
      </w:r>
      <w:bookmarkStart w:id="0" w:name="投标邀请函"/>
      <w:bookmarkEnd w:id="0"/>
      <w:r>
        <w:rPr>
          <w:rFonts w:hint="eastAsia" w:ascii="仿宋" w:hAnsi="仿宋" w:eastAsia="仿宋" w:cs="仿宋"/>
          <w:b/>
          <w:snapToGrid w:val="0"/>
          <w:color w:val="auto"/>
          <w:szCs w:val="28"/>
        </w:rPr>
        <w:t>函</w:t>
      </w:r>
    </w:p>
    <w:p>
      <w:pPr>
        <w:autoSpaceDE w:val="0"/>
        <w:autoSpaceDN w:val="0"/>
        <w:adjustRightInd w:val="0"/>
        <w:spacing w:line="560" w:lineRule="atLeast"/>
        <w:ind w:firstLine="624"/>
        <w:jc w:val="left"/>
        <w:rPr>
          <w:rFonts w:hint="eastAsia" w:ascii="仿宋" w:hAnsi="仿宋" w:eastAsia="仿宋" w:cs="仿宋"/>
          <w:snapToGrid w:val="0"/>
          <w:color w:val="auto"/>
          <w:sz w:val="28"/>
          <w:szCs w:val="28"/>
          <w:highlight w:val="none"/>
          <w:lang w:eastAsia="zh-CN"/>
        </w:rPr>
      </w:pPr>
      <w:r>
        <w:rPr>
          <w:rFonts w:hint="eastAsia" w:ascii="仿宋" w:hAnsi="仿宋" w:eastAsia="仿宋" w:cs="仿宋"/>
          <w:snapToGrid w:val="0"/>
          <w:color w:val="auto"/>
          <w:sz w:val="28"/>
          <w:szCs w:val="28"/>
          <w:highlight w:val="none"/>
        </w:rPr>
        <w:t>根据</w:t>
      </w:r>
      <w:r>
        <w:rPr>
          <w:rFonts w:hint="eastAsia" w:ascii="仿宋" w:hAnsi="仿宋" w:eastAsia="仿宋" w:cs="仿宋"/>
          <w:snapToGrid w:val="0"/>
          <w:color w:val="auto"/>
          <w:sz w:val="28"/>
          <w:highlight w:val="none"/>
        </w:rPr>
        <w:t>江苏常熟农村商业银行股份有限公司</w:t>
      </w:r>
      <w:r>
        <w:rPr>
          <w:rFonts w:hint="eastAsia" w:ascii="仿宋" w:hAnsi="仿宋" w:eastAsia="仿宋" w:cs="仿宋"/>
          <w:snapToGrid w:val="0"/>
          <w:color w:val="auto"/>
          <w:sz w:val="28"/>
          <w:szCs w:val="28"/>
          <w:highlight w:val="none"/>
        </w:rPr>
        <w:t>业务发展需求，现就</w:t>
      </w:r>
      <w:r>
        <w:rPr>
          <w:rFonts w:hint="eastAsia" w:ascii="仿宋" w:hAnsi="仿宋" w:eastAsia="仿宋" w:cs="仿宋"/>
          <w:snapToGrid w:val="0"/>
          <w:color w:val="auto"/>
          <w:sz w:val="28"/>
          <w:highlight w:val="none"/>
          <w:lang w:eastAsia="zh-CN"/>
        </w:rPr>
        <w:t>我行</w:t>
      </w:r>
      <w:r>
        <w:rPr>
          <w:rFonts w:hint="eastAsia" w:ascii="仿宋" w:hAnsi="仿宋" w:eastAsia="仿宋" w:cs="仿宋"/>
          <w:snapToGrid w:val="0"/>
          <w:color w:val="auto"/>
          <w:sz w:val="28"/>
          <w:highlight w:val="none"/>
        </w:rPr>
        <w:t>“</w:t>
      </w:r>
      <w:r>
        <w:rPr>
          <w:rFonts w:hint="eastAsia" w:ascii="仿宋" w:hAnsi="仿宋" w:eastAsia="仿宋" w:cs="仿宋"/>
          <w:snapToGrid w:val="0"/>
          <w:color w:val="auto"/>
          <w:sz w:val="28"/>
          <w:highlight w:val="none"/>
          <w:lang w:val="en-US" w:eastAsia="zh-CN"/>
        </w:rPr>
        <w:t>财富管理系统</w:t>
      </w:r>
      <w:r>
        <w:rPr>
          <w:rFonts w:hint="eastAsia" w:ascii="仿宋" w:hAnsi="仿宋" w:eastAsia="仿宋" w:cs="仿宋"/>
          <w:snapToGrid w:val="0"/>
          <w:color w:val="auto"/>
          <w:sz w:val="28"/>
          <w:szCs w:val="28"/>
          <w:highlight w:val="none"/>
          <w:u w:val="none"/>
        </w:rPr>
        <w:t>项目</w:t>
      </w:r>
      <w:r>
        <w:rPr>
          <w:rFonts w:hint="eastAsia" w:ascii="仿宋" w:hAnsi="仿宋" w:eastAsia="仿宋" w:cs="仿宋"/>
          <w:snapToGrid w:val="0"/>
          <w:color w:val="auto"/>
          <w:sz w:val="28"/>
          <w:szCs w:val="28"/>
          <w:highlight w:val="none"/>
        </w:rPr>
        <w:t>”进行招标</w:t>
      </w:r>
      <w:r>
        <w:rPr>
          <w:rFonts w:hint="eastAsia" w:ascii="仿宋" w:hAnsi="仿宋" w:eastAsia="仿宋" w:cs="仿宋"/>
          <w:snapToGrid w:val="0"/>
          <w:color w:val="auto"/>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default" w:ascii="仿宋" w:hAnsi="仿宋" w:eastAsia="仿宋" w:cs="仿宋"/>
          <w:b/>
          <w:bCs/>
          <w:snapToGrid w:val="0"/>
          <w:color w:val="auto"/>
          <w:sz w:val="28"/>
          <w:szCs w:val="28"/>
          <w:highlight w:val="none"/>
          <w:lang w:val="en-US" w:eastAsia="zh-CN"/>
        </w:rPr>
      </w:pPr>
      <w:r>
        <w:rPr>
          <w:rFonts w:hint="eastAsia" w:ascii="仿宋" w:hAnsi="仿宋" w:eastAsia="仿宋" w:cs="仿宋"/>
          <w:b/>
          <w:bCs/>
          <w:snapToGrid w:val="0"/>
          <w:color w:val="auto"/>
          <w:sz w:val="28"/>
          <w:szCs w:val="28"/>
          <w:highlight w:val="none"/>
          <w:lang w:val="en-US" w:eastAsia="zh-CN"/>
        </w:rPr>
        <w:t>1.招标编号：</w:t>
      </w:r>
      <w:r>
        <w:rPr>
          <w:rFonts w:hint="eastAsia" w:ascii="仿宋" w:hAnsi="仿宋" w:eastAsia="仿宋" w:cs="仿宋"/>
          <w:b w:val="0"/>
          <w:bCs w:val="0"/>
          <w:snapToGrid w:val="0"/>
          <w:color w:val="auto"/>
          <w:sz w:val="28"/>
          <w:szCs w:val="28"/>
          <w:highlight w:val="none"/>
          <w:lang w:val="en-US" w:eastAsia="zh-CN"/>
        </w:rPr>
        <w:t>20210067</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 w:hAnsi="仿宋" w:eastAsia="仿宋" w:cs="仿宋"/>
          <w:snapToGrid w:val="0"/>
          <w:color w:val="auto"/>
          <w:sz w:val="28"/>
          <w:szCs w:val="28"/>
          <w:highlight w:val="none"/>
          <w:u w:val="single"/>
        </w:rPr>
      </w:pPr>
      <w:r>
        <w:rPr>
          <w:rFonts w:hint="eastAsia" w:ascii="仿宋" w:hAnsi="仿宋" w:eastAsia="仿宋" w:cs="仿宋"/>
          <w:b/>
          <w:bCs/>
          <w:snapToGrid w:val="0"/>
          <w:color w:val="auto"/>
          <w:sz w:val="28"/>
          <w:szCs w:val="28"/>
          <w:highlight w:val="none"/>
          <w:lang w:val="en-US" w:eastAsia="zh-CN"/>
        </w:rPr>
        <w:t>2.</w:t>
      </w:r>
      <w:r>
        <w:rPr>
          <w:rFonts w:hint="eastAsia" w:ascii="仿宋" w:hAnsi="仿宋" w:eastAsia="仿宋" w:cs="仿宋"/>
          <w:b/>
          <w:bCs/>
          <w:snapToGrid w:val="0"/>
          <w:color w:val="auto"/>
          <w:sz w:val="28"/>
          <w:szCs w:val="28"/>
          <w:highlight w:val="none"/>
        </w:rPr>
        <w:t>招标人：</w:t>
      </w:r>
      <w:r>
        <w:rPr>
          <w:rFonts w:hint="eastAsia" w:ascii="仿宋" w:hAnsi="仿宋" w:eastAsia="仿宋" w:cs="仿宋"/>
          <w:snapToGrid w:val="0"/>
          <w:color w:val="auto"/>
          <w:sz w:val="28"/>
          <w:highlight w:val="none"/>
        </w:rPr>
        <w:t>江苏常熟农村商业银行股份有限公司</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b/>
          <w:bCs/>
          <w:snapToGrid w:val="0"/>
          <w:color w:val="auto"/>
          <w:sz w:val="28"/>
          <w:szCs w:val="28"/>
          <w:highlight w:val="none"/>
          <w:lang w:val="en-US" w:eastAsia="zh-CN"/>
        </w:rPr>
        <w:t>3.</w:t>
      </w:r>
      <w:r>
        <w:rPr>
          <w:rFonts w:hint="eastAsia" w:ascii="仿宋" w:hAnsi="仿宋" w:eastAsia="仿宋" w:cs="仿宋"/>
          <w:b/>
          <w:bCs/>
          <w:snapToGrid w:val="0"/>
          <w:color w:val="auto"/>
          <w:sz w:val="28"/>
          <w:szCs w:val="28"/>
          <w:highlight w:val="none"/>
        </w:rPr>
        <w:t>项目实施地点：</w:t>
      </w:r>
      <w:r>
        <w:rPr>
          <w:rFonts w:hint="eastAsia" w:ascii="仿宋" w:hAnsi="仿宋" w:eastAsia="仿宋" w:cs="仿宋"/>
          <w:b w:val="0"/>
          <w:bCs w:val="0"/>
          <w:snapToGrid w:val="0"/>
          <w:color w:val="auto"/>
          <w:sz w:val="28"/>
          <w:szCs w:val="28"/>
          <w:highlight w:val="none"/>
          <w:lang w:val="en-US" w:eastAsia="zh-CN"/>
        </w:rPr>
        <w:t>江苏苏州2.5产业园M3栋</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color w:val="auto"/>
          <w:sz w:val="28"/>
          <w:szCs w:val="28"/>
          <w:highlight w:val="none"/>
        </w:rPr>
      </w:pPr>
      <w:r>
        <w:rPr>
          <w:rFonts w:hint="eastAsia" w:ascii="仿宋" w:hAnsi="仿宋" w:eastAsia="仿宋" w:cs="仿宋"/>
          <w:b/>
          <w:bCs/>
          <w:snapToGrid w:val="0"/>
          <w:color w:val="auto"/>
          <w:sz w:val="28"/>
          <w:szCs w:val="28"/>
          <w:highlight w:val="none"/>
          <w:lang w:val="en-US" w:eastAsia="zh-CN"/>
        </w:rPr>
        <w:t>4.</w:t>
      </w:r>
      <w:r>
        <w:rPr>
          <w:rFonts w:hint="eastAsia" w:ascii="仿宋" w:hAnsi="仿宋" w:eastAsia="仿宋" w:cs="仿宋"/>
          <w:b/>
          <w:bCs/>
          <w:snapToGrid w:val="0"/>
          <w:color w:val="auto"/>
          <w:sz w:val="28"/>
          <w:szCs w:val="28"/>
          <w:highlight w:val="none"/>
        </w:rPr>
        <w:t>发放标书时间：</w:t>
      </w:r>
      <w:r>
        <w:rPr>
          <w:rFonts w:hint="eastAsia" w:ascii="仿宋" w:hAnsi="仿宋" w:eastAsia="仿宋" w:cs="仿宋"/>
          <w:b/>
          <w:bCs/>
          <w:snapToGrid w:val="0"/>
          <w:color w:val="auto"/>
          <w:sz w:val="28"/>
          <w:szCs w:val="28"/>
          <w:highlight w:val="none"/>
          <w:lang w:val="en-US" w:eastAsia="zh-CN"/>
        </w:rPr>
        <w:t xml:space="preserve"> </w:t>
      </w:r>
      <w:r>
        <w:rPr>
          <w:rFonts w:hint="eastAsia" w:ascii="仿宋" w:hAnsi="仿宋" w:eastAsia="仿宋" w:cs="仿宋"/>
          <w:snapToGrid w:val="0"/>
          <w:color w:val="auto"/>
          <w:sz w:val="28"/>
          <w:szCs w:val="28"/>
          <w:highlight w:val="none"/>
        </w:rPr>
        <w:t xml:space="preserve">北京时间  </w:t>
      </w:r>
      <w:r>
        <w:rPr>
          <w:rFonts w:hint="eastAsia" w:ascii="仿宋" w:hAnsi="仿宋" w:eastAsia="仿宋" w:cs="仿宋"/>
          <w:snapToGrid w:val="0"/>
          <w:color w:val="auto"/>
          <w:sz w:val="28"/>
          <w:szCs w:val="28"/>
          <w:highlight w:val="none"/>
          <w:lang w:val="en-US" w:eastAsia="zh-CN"/>
        </w:rPr>
        <w:t>2021</w:t>
      </w:r>
      <w:r>
        <w:rPr>
          <w:rFonts w:hint="eastAsia" w:ascii="仿宋" w:hAnsi="仿宋" w:eastAsia="仿宋" w:cs="仿宋"/>
          <w:snapToGrid w:val="0"/>
          <w:color w:val="auto"/>
          <w:sz w:val="28"/>
          <w:szCs w:val="28"/>
          <w:highlight w:val="none"/>
        </w:rPr>
        <w:t>年</w:t>
      </w:r>
      <w:r>
        <w:rPr>
          <w:rFonts w:hint="eastAsia" w:ascii="仿宋" w:hAnsi="仿宋" w:eastAsia="仿宋" w:cs="仿宋"/>
          <w:snapToGrid w:val="0"/>
          <w:color w:val="auto"/>
          <w:sz w:val="28"/>
          <w:szCs w:val="28"/>
          <w:highlight w:val="none"/>
          <w:lang w:val="en-US" w:eastAsia="zh-CN"/>
        </w:rPr>
        <w:t>12</w:t>
      </w:r>
      <w:r>
        <w:rPr>
          <w:rFonts w:hint="eastAsia" w:ascii="仿宋" w:hAnsi="仿宋" w:eastAsia="仿宋" w:cs="仿宋"/>
          <w:snapToGrid w:val="0"/>
          <w:color w:val="auto"/>
          <w:sz w:val="28"/>
          <w:szCs w:val="28"/>
          <w:highlight w:val="none"/>
        </w:rPr>
        <w:t>月</w:t>
      </w:r>
      <w:r>
        <w:rPr>
          <w:rFonts w:hint="eastAsia" w:ascii="仿宋" w:hAnsi="仿宋" w:eastAsia="仿宋" w:cs="仿宋"/>
          <w:snapToGrid w:val="0"/>
          <w:color w:val="auto"/>
          <w:sz w:val="28"/>
          <w:szCs w:val="28"/>
          <w:highlight w:val="none"/>
          <w:lang w:val="en-US" w:eastAsia="zh-CN"/>
        </w:rPr>
        <w:t>16</w:t>
      </w:r>
      <w:r>
        <w:rPr>
          <w:rFonts w:hint="eastAsia" w:ascii="仿宋" w:hAnsi="仿宋" w:eastAsia="仿宋" w:cs="仿宋"/>
          <w:snapToGrid w:val="0"/>
          <w:color w:val="auto"/>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color w:val="auto"/>
          <w:sz w:val="28"/>
          <w:szCs w:val="28"/>
          <w:highlight w:val="none"/>
        </w:rPr>
      </w:pPr>
      <w:r>
        <w:rPr>
          <w:rFonts w:hint="eastAsia" w:ascii="仿宋" w:hAnsi="仿宋" w:eastAsia="仿宋" w:cs="仿宋"/>
          <w:b/>
          <w:bCs/>
          <w:snapToGrid w:val="0"/>
          <w:color w:val="auto"/>
          <w:sz w:val="28"/>
          <w:szCs w:val="28"/>
          <w:highlight w:val="none"/>
          <w:lang w:val="en-US" w:eastAsia="zh-CN"/>
        </w:rPr>
        <w:t>5.</w:t>
      </w:r>
      <w:r>
        <w:rPr>
          <w:rFonts w:hint="eastAsia" w:ascii="仿宋" w:hAnsi="仿宋" w:eastAsia="仿宋" w:cs="仿宋"/>
          <w:b/>
          <w:bCs/>
          <w:snapToGrid w:val="0"/>
          <w:color w:val="auto"/>
          <w:sz w:val="28"/>
          <w:szCs w:val="28"/>
          <w:highlight w:val="none"/>
        </w:rPr>
        <w:t>投标截止时间：</w:t>
      </w:r>
      <w:r>
        <w:rPr>
          <w:rFonts w:hint="eastAsia" w:ascii="仿宋" w:hAnsi="仿宋" w:eastAsia="仿宋" w:cs="仿宋"/>
          <w:b/>
          <w:bCs/>
          <w:snapToGrid w:val="0"/>
          <w:color w:val="auto"/>
          <w:sz w:val="28"/>
          <w:szCs w:val="28"/>
          <w:highlight w:val="none"/>
          <w:lang w:val="en-US" w:eastAsia="zh-CN"/>
        </w:rPr>
        <w:t xml:space="preserve"> </w:t>
      </w:r>
      <w:r>
        <w:rPr>
          <w:rFonts w:hint="eastAsia" w:ascii="仿宋" w:hAnsi="仿宋" w:eastAsia="仿宋" w:cs="仿宋"/>
          <w:snapToGrid w:val="0"/>
          <w:color w:val="auto"/>
          <w:sz w:val="28"/>
          <w:szCs w:val="28"/>
          <w:highlight w:val="none"/>
        </w:rPr>
        <w:t xml:space="preserve">北京时间  </w:t>
      </w:r>
      <w:r>
        <w:rPr>
          <w:rFonts w:hint="eastAsia" w:ascii="仿宋" w:hAnsi="仿宋" w:eastAsia="仿宋" w:cs="仿宋"/>
          <w:snapToGrid w:val="0"/>
          <w:color w:val="auto"/>
          <w:sz w:val="28"/>
          <w:szCs w:val="28"/>
          <w:highlight w:val="none"/>
          <w:lang w:val="en-US" w:eastAsia="zh-CN"/>
        </w:rPr>
        <w:t>2022</w:t>
      </w:r>
      <w:r>
        <w:rPr>
          <w:rFonts w:hint="eastAsia" w:ascii="仿宋" w:hAnsi="仿宋" w:eastAsia="仿宋" w:cs="仿宋"/>
          <w:snapToGrid w:val="0"/>
          <w:color w:val="auto"/>
          <w:sz w:val="28"/>
          <w:szCs w:val="28"/>
          <w:highlight w:val="none"/>
        </w:rPr>
        <w:t>年</w:t>
      </w:r>
      <w:r>
        <w:rPr>
          <w:rFonts w:hint="eastAsia" w:ascii="仿宋" w:hAnsi="仿宋" w:eastAsia="仿宋" w:cs="仿宋"/>
          <w:snapToGrid w:val="0"/>
          <w:color w:val="auto"/>
          <w:sz w:val="28"/>
          <w:szCs w:val="28"/>
          <w:highlight w:val="none"/>
          <w:lang w:val="en-US" w:eastAsia="zh-CN"/>
        </w:rPr>
        <w:t>01</w:t>
      </w:r>
      <w:r>
        <w:rPr>
          <w:rFonts w:hint="eastAsia" w:ascii="仿宋" w:hAnsi="仿宋" w:eastAsia="仿宋" w:cs="仿宋"/>
          <w:snapToGrid w:val="0"/>
          <w:color w:val="auto"/>
          <w:sz w:val="28"/>
          <w:szCs w:val="28"/>
          <w:highlight w:val="none"/>
        </w:rPr>
        <w:t>月</w:t>
      </w:r>
      <w:r>
        <w:rPr>
          <w:rFonts w:hint="eastAsia" w:ascii="仿宋" w:hAnsi="仿宋" w:eastAsia="仿宋" w:cs="仿宋"/>
          <w:snapToGrid w:val="0"/>
          <w:color w:val="auto"/>
          <w:sz w:val="28"/>
          <w:szCs w:val="28"/>
          <w:highlight w:val="none"/>
          <w:lang w:val="en-US" w:eastAsia="zh-CN"/>
        </w:rPr>
        <w:t>04</w:t>
      </w:r>
      <w:r>
        <w:rPr>
          <w:rFonts w:hint="eastAsia" w:ascii="仿宋" w:hAnsi="仿宋" w:eastAsia="仿宋" w:cs="仿宋"/>
          <w:snapToGrid w:val="0"/>
          <w:color w:val="auto"/>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b/>
          <w:bCs/>
          <w:snapToGrid w:val="0"/>
          <w:color w:val="auto"/>
          <w:sz w:val="28"/>
          <w:szCs w:val="28"/>
          <w:highlight w:val="none"/>
        </w:rPr>
      </w:pPr>
      <w:r>
        <w:rPr>
          <w:rFonts w:hint="eastAsia" w:ascii="仿宋" w:hAnsi="仿宋" w:eastAsia="仿宋" w:cs="仿宋"/>
          <w:b/>
          <w:bCs/>
          <w:snapToGrid w:val="0"/>
          <w:color w:val="auto"/>
          <w:sz w:val="28"/>
          <w:szCs w:val="28"/>
          <w:highlight w:val="none"/>
          <w:lang w:val="en-US" w:eastAsia="zh-CN"/>
        </w:rPr>
        <w:t>6.</w:t>
      </w:r>
      <w:r>
        <w:rPr>
          <w:rFonts w:hint="eastAsia" w:ascii="仿宋" w:hAnsi="仿宋" w:eastAsia="仿宋" w:cs="仿宋"/>
          <w:b/>
          <w:bCs/>
          <w:snapToGrid w:val="0"/>
          <w:color w:val="auto"/>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 xml:space="preserve">联系人： </w:t>
      </w:r>
      <w:r>
        <w:rPr>
          <w:rFonts w:hint="eastAsia" w:ascii="仿宋" w:hAnsi="仿宋" w:eastAsia="仿宋" w:cs="仿宋"/>
          <w:color w:val="auto"/>
          <w:kern w:val="0"/>
          <w:sz w:val="28"/>
          <w:szCs w:val="28"/>
          <w:highlight w:val="none"/>
          <w:lang w:val="en-US" w:eastAsia="zh-CN"/>
        </w:rPr>
        <w:t>王小彪</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rPr>
        <w:t>电话号码：0512-</w:t>
      </w:r>
      <w:r>
        <w:rPr>
          <w:rFonts w:hint="eastAsia" w:ascii="仿宋" w:hAnsi="仿宋" w:eastAsia="仿宋" w:cs="仿宋"/>
          <w:color w:val="auto"/>
          <w:kern w:val="0"/>
          <w:sz w:val="28"/>
          <w:szCs w:val="28"/>
          <w:highlight w:val="none"/>
          <w:lang w:val="en-US" w:eastAsia="zh-CN"/>
        </w:rPr>
        <w:t>52909233</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标书接收</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电话号码：0512-52739210</w:t>
      </w:r>
    </w:p>
    <w:p>
      <w:pPr>
        <w:numPr>
          <w:ilvl w:val="0"/>
          <w:numId w:val="0"/>
        </w:numPr>
        <w:autoSpaceDE w:val="0"/>
        <w:autoSpaceDN w:val="0"/>
        <w:adjustRightInd w:val="0"/>
        <w:jc w:val="left"/>
        <w:rPr>
          <w:rFonts w:hint="eastAsia" w:ascii="仿宋" w:hAnsi="仿宋" w:eastAsia="仿宋" w:cs="仿宋"/>
          <w:i w:val="0"/>
          <w:iCs w:val="0"/>
          <w:snapToGrid w:val="0"/>
          <w:color w:val="auto"/>
          <w:sz w:val="24"/>
          <w:szCs w:val="24"/>
          <w:highlight w:val="none"/>
          <w:lang w:eastAsia="zh-CN"/>
        </w:rPr>
      </w:pPr>
    </w:p>
    <w:p>
      <w:pPr>
        <w:numPr>
          <w:ilvl w:val="0"/>
          <w:numId w:val="0"/>
        </w:numPr>
        <w:autoSpaceDE w:val="0"/>
        <w:autoSpaceDN w:val="0"/>
        <w:adjustRightInd w:val="0"/>
        <w:jc w:val="left"/>
        <w:rPr>
          <w:rFonts w:hint="eastAsia" w:ascii="仿宋" w:hAnsi="仿宋" w:eastAsia="仿宋" w:cs="仿宋"/>
          <w:i w:val="0"/>
          <w:iCs w:val="0"/>
          <w:snapToGrid w:val="0"/>
          <w:color w:val="auto"/>
          <w:sz w:val="24"/>
          <w:szCs w:val="24"/>
          <w:highlight w:val="none"/>
          <w:lang w:eastAsia="zh-CN"/>
        </w:rPr>
      </w:pPr>
      <w:r>
        <w:rPr>
          <w:rFonts w:hint="eastAsia" w:ascii="仿宋" w:hAnsi="仿宋" w:eastAsia="仿宋" w:cs="仿宋"/>
          <w:i w:val="0"/>
          <w:iCs w:val="0"/>
          <w:snapToGrid w:val="0"/>
          <w:color w:val="auto"/>
          <w:sz w:val="24"/>
          <w:szCs w:val="24"/>
          <w:highlight w:val="none"/>
          <w:lang w:eastAsia="zh-CN"/>
        </w:rPr>
        <w:t>特别说明：</w:t>
      </w:r>
    </w:p>
    <w:p>
      <w:pPr>
        <w:numPr>
          <w:ilvl w:val="0"/>
          <w:numId w:val="0"/>
        </w:numPr>
        <w:autoSpaceDE w:val="0"/>
        <w:autoSpaceDN w:val="0"/>
        <w:adjustRightInd w:val="0"/>
        <w:ind w:firstLine="560"/>
        <w:jc w:val="left"/>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1.投标截止时，若某标段的合格投标人数量未符合我行开标要求（三家及以上），则投标截止时间顺延一周。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 w:hAnsi="仿宋" w:eastAsia="仿宋" w:cs="仿宋"/>
          <w:i w:val="0"/>
          <w:iCs w:val="0"/>
          <w:snapToGrid w:val="0"/>
          <w:color w:val="auto"/>
          <w:sz w:val="24"/>
          <w:szCs w:val="24"/>
          <w:highlight w:val="none"/>
          <w:lang w:eastAsia="zh-CN"/>
        </w:rPr>
      </w:pPr>
      <w:r>
        <w:rPr>
          <w:rFonts w:hint="eastAsia" w:ascii="仿宋" w:hAnsi="仿宋" w:eastAsia="仿宋" w:cs="仿宋"/>
          <w:i w:val="0"/>
          <w:iCs w:val="0"/>
          <w:snapToGrid w:val="0"/>
          <w:color w:val="auto"/>
          <w:sz w:val="24"/>
          <w:szCs w:val="24"/>
          <w:highlight w:val="none"/>
          <w:lang w:val="en-US" w:eastAsia="zh-CN"/>
        </w:rPr>
        <w:t>2.若投标时间延长一周后，标段投标人数量仍未满足要求，则根据该标段投标人数量将采购方式转为单一来源或竞争性谈判。</w:t>
      </w:r>
    </w:p>
    <w:p>
      <w:pPr>
        <w:numPr>
          <w:ilvl w:val="0"/>
          <w:numId w:val="0"/>
        </w:numPr>
        <w:autoSpaceDE w:val="0"/>
        <w:autoSpaceDN w:val="0"/>
        <w:adjustRightInd w:val="0"/>
        <w:ind w:firstLine="560"/>
        <w:jc w:val="left"/>
        <w:rPr>
          <w:rFonts w:hint="eastAsia" w:ascii="仿宋" w:hAnsi="仿宋" w:eastAsia="仿宋" w:cs="仿宋"/>
          <w:i w:val="0"/>
          <w:iCs w:val="0"/>
          <w:snapToGrid w:val="0"/>
          <w:color w:val="auto"/>
          <w:sz w:val="24"/>
          <w:szCs w:val="24"/>
          <w:highlight w:val="none"/>
          <w:lang w:eastAsia="zh-CN"/>
        </w:rPr>
      </w:pPr>
    </w:p>
    <w:p>
      <w:pPr>
        <w:pStyle w:val="4"/>
        <w:spacing w:after="240"/>
        <w:jc w:val="right"/>
        <w:rPr>
          <w:rFonts w:hint="eastAsia" w:ascii="仿宋" w:hAnsi="仿宋" w:eastAsia="仿宋" w:cs="仿宋"/>
          <w:snapToGrid w:val="0"/>
          <w:color w:val="auto"/>
          <w:sz w:val="28"/>
        </w:rPr>
      </w:pPr>
    </w:p>
    <w:p>
      <w:pPr>
        <w:pStyle w:val="4"/>
        <w:spacing w:after="240"/>
        <w:jc w:val="right"/>
        <w:rPr>
          <w:rFonts w:hint="eastAsia" w:ascii="仿宋" w:hAnsi="仿宋" w:eastAsia="仿宋" w:cs="仿宋"/>
          <w:snapToGrid w:val="0"/>
          <w:color w:val="auto"/>
          <w:sz w:val="28"/>
        </w:rPr>
      </w:pPr>
      <w:r>
        <w:rPr>
          <w:rFonts w:hint="eastAsia" w:ascii="仿宋" w:hAnsi="仿宋" w:eastAsia="仿宋" w:cs="仿宋"/>
          <w:snapToGrid w:val="0"/>
          <w:color w:val="auto"/>
          <w:sz w:val="28"/>
        </w:rPr>
        <w:t>江苏常熟农村商业银行股份有限公司</w:t>
      </w:r>
    </w:p>
    <w:p>
      <w:pPr>
        <w:pStyle w:val="4"/>
        <w:spacing w:after="240"/>
        <w:jc w:val="center"/>
        <w:rPr>
          <w:rFonts w:hint="eastAsia" w:ascii="仿宋" w:hAnsi="仿宋" w:eastAsia="仿宋" w:cs="仿宋"/>
          <w:b/>
          <w:snapToGrid w:val="0"/>
          <w:color w:val="auto"/>
          <w:szCs w:val="28"/>
        </w:rPr>
      </w:pPr>
      <w:r>
        <w:rPr>
          <w:rFonts w:hint="eastAsia" w:ascii="仿宋" w:hAnsi="仿宋" w:eastAsia="仿宋" w:cs="仿宋"/>
          <w:snapToGrid w:val="0"/>
          <w:color w:val="auto"/>
        </w:rPr>
        <w:br w:type="page"/>
      </w:r>
      <w:r>
        <w:rPr>
          <w:rFonts w:hint="eastAsia" w:ascii="仿宋" w:hAnsi="仿宋" w:eastAsia="仿宋" w:cs="仿宋"/>
          <w:b/>
          <w:snapToGrid w:val="0"/>
          <w:color w:val="auto"/>
          <w:szCs w:val="28"/>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auto"/>
          <w:sz w:val="28"/>
          <w:szCs w:val="28"/>
        </w:rPr>
      </w:pPr>
      <w:r>
        <w:rPr>
          <w:rFonts w:hint="eastAsia" w:ascii="仿宋" w:hAnsi="仿宋" w:eastAsia="仿宋" w:cs="仿宋"/>
          <w:b/>
          <w:bCs/>
          <w:snapToGrid w:val="0"/>
          <w:color w:val="auto"/>
          <w:sz w:val="28"/>
          <w:szCs w:val="28"/>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适用范围</w:t>
      </w:r>
    </w:p>
    <w:p>
      <w:pPr>
        <w:autoSpaceDE w:val="0"/>
        <w:autoSpaceDN w:val="0"/>
        <w:adjustRightInd w:val="0"/>
        <w:spacing w:line="560" w:lineRule="atLeast"/>
        <w:ind w:firstLine="420" w:firstLineChars="0"/>
        <w:jc w:val="left"/>
        <w:rPr>
          <w:rFonts w:hint="eastAsia" w:ascii="仿宋" w:hAnsi="仿宋" w:eastAsia="仿宋" w:cs="仿宋"/>
          <w:snapToGrid w:val="0"/>
          <w:color w:val="auto"/>
          <w:kern w:val="2"/>
          <w:sz w:val="28"/>
          <w:szCs w:val="28"/>
          <w:highlight w:val="yellow"/>
          <w:lang w:val="en-US" w:eastAsia="zh-CN" w:bidi="ar-SA"/>
        </w:rPr>
      </w:pPr>
      <w:r>
        <w:rPr>
          <w:rFonts w:hint="eastAsia" w:ascii="仿宋" w:hAnsi="仿宋" w:eastAsia="仿宋" w:cs="仿宋"/>
          <w:snapToGrid w:val="0"/>
          <w:color w:val="auto"/>
          <w:sz w:val="28"/>
          <w:szCs w:val="28"/>
        </w:rPr>
        <w:t>本招标文件仅适用于江苏常熟农村商业银行股份有限公司（以下简称“常熟农商银行”）“</w:t>
      </w:r>
      <w:r>
        <w:rPr>
          <w:rFonts w:hint="eastAsia" w:ascii="仿宋" w:hAnsi="仿宋" w:eastAsia="仿宋" w:cs="仿宋"/>
          <w:snapToGrid w:val="0"/>
          <w:color w:val="auto"/>
          <w:sz w:val="28"/>
          <w:szCs w:val="28"/>
          <w:highlight w:val="yellow"/>
          <w:u w:val="single"/>
          <w:lang w:val="en-US" w:eastAsia="zh-CN"/>
        </w:rPr>
        <w:t>财富管理系统</w:t>
      </w:r>
      <w:r>
        <w:rPr>
          <w:rFonts w:hint="eastAsia" w:ascii="仿宋" w:hAnsi="仿宋" w:eastAsia="仿宋" w:cs="仿宋"/>
          <w:snapToGrid w:val="0"/>
          <w:color w:val="auto"/>
          <w:sz w:val="28"/>
          <w:szCs w:val="28"/>
          <w:highlight w:val="yellow"/>
          <w:u w:val="single"/>
        </w:rPr>
        <w:t>项目</w:t>
      </w:r>
      <w:r>
        <w:rPr>
          <w:rFonts w:hint="eastAsia" w:ascii="仿宋" w:hAnsi="仿宋" w:eastAsia="仿宋" w:cs="仿宋"/>
          <w:snapToGrid w:val="0"/>
          <w:color w:val="auto"/>
          <w:sz w:val="28"/>
          <w:szCs w:val="28"/>
        </w:rPr>
        <w:t>”而进行的公开招标。</w:t>
      </w:r>
      <w:r>
        <w:rPr>
          <w:rFonts w:hint="eastAsia" w:ascii="仿宋" w:hAnsi="仿宋" w:eastAsia="仿宋" w:cs="仿宋"/>
          <w:snapToGrid w:val="0"/>
          <w:color w:val="auto"/>
          <w:sz w:val="28"/>
          <w:szCs w:val="28"/>
          <w:lang w:val="en-US" w:eastAsia="zh-CN"/>
        </w:rPr>
        <w:t xml:space="preserve">        </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定义</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投标人必须为具有独立企业法人资格，具有合法名称、组织机构、固定的办公场所，注册资本要求不少于</w:t>
      </w:r>
      <w:r>
        <w:rPr>
          <w:rFonts w:hint="eastAsia" w:ascii="仿宋" w:hAnsi="仿宋" w:eastAsia="仿宋" w:cs="仿宋"/>
          <w:snapToGrid w:val="0"/>
          <w:color w:val="auto"/>
          <w:sz w:val="28"/>
          <w:szCs w:val="28"/>
          <w:highlight w:val="yellow"/>
          <w:u w:val="single"/>
          <w:lang w:val="en-US" w:eastAsia="zh-CN"/>
        </w:rPr>
        <w:t xml:space="preserve"> </w:t>
      </w:r>
      <w:r>
        <w:rPr>
          <w:rFonts w:hint="eastAsia" w:ascii="仿宋" w:hAnsi="仿宋" w:eastAsia="仿宋" w:cs="仿宋"/>
          <w:snapToGrid w:val="0"/>
          <w:color w:val="auto"/>
          <w:sz w:val="28"/>
          <w:szCs w:val="28"/>
          <w:highlight w:val="yellow"/>
          <w:u w:val="single"/>
        </w:rPr>
        <w:t>1000</w:t>
      </w:r>
      <w:r>
        <w:rPr>
          <w:rFonts w:hint="eastAsia" w:ascii="仿宋" w:hAnsi="仿宋" w:eastAsia="仿宋" w:cs="仿宋"/>
          <w:snapToGrid w:val="0"/>
          <w:color w:val="auto"/>
          <w:sz w:val="28"/>
          <w:szCs w:val="28"/>
          <w:highlight w:val="yellow"/>
          <w:u w:val="single"/>
          <w:lang w:val="en-US" w:eastAsia="zh-CN"/>
        </w:rPr>
        <w:t xml:space="preserve"> </w:t>
      </w:r>
      <w:r>
        <w:rPr>
          <w:rFonts w:hint="eastAsia" w:ascii="仿宋" w:hAnsi="仿宋" w:eastAsia="仿宋" w:cs="仿宋"/>
          <w:snapToGrid w:val="0"/>
          <w:color w:val="auto"/>
          <w:sz w:val="28"/>
          <w:szCs w:val="28"/>
        </w:rPr>
        <w:t>万元人民币（或等值外币），注册时间不少于</w:t>
      </w:r>
      <w:r>
        <w:rPr>
          <w:rFonts w:hint="eastAsia" w:ascii="仿宋" w:hAnsi="仿宋" w:eastAsia="仿宋" w:cs="仿宋"/>
          <w:snapToGrid w:val="0"/>
          <w:color w:val="auto"/>
          <w:sz w:val="28"/>
          <w:szCs w:val="28"/>
          <w:highlight w:val="yellow"/>
          <w:u w:val="single"/>
        </w:rPr>
        <w:t xml:space="preserve"> </w:t>
      </w:r>
      <w:r>
        <w:rPr>
          <w:rFonts w:hint="eastAsia" w:ascii="仿宋" w:hAnsi="仿宋" w:eastAsia="仿宋" w:cs="仿宋"/>
          <w:snapToGrid w:val="0"/>
          <w:color w:val="auto"/>
          <w:sz w:val="28"/>
          <w:szCs w:val="28"/>
          <w:highlight w:val="yellow"/>
          <w:u w:val="single"/>
          <w:lang w:val="en-US" w:eastAsia="zh-CN"/>
        </w:rPr>
        <w:t>2</w:t>
      </w:r>
      <w:r>
        <w:rPr>
          <w:rFonts w:hint="eastAsia" w:ascii="仿宋" w:hAnsi="仿宋" w:eastAsia="仿宋" w:cs="仿宋"/>
          <w:snapToGrid w:val="0"/>
          <w:color w:val="auto"/>
          <w:sz w:val="28"/>
          <w:szCs w:val="28"/>
          <w:highlight w:val="yellow"/>
          <w:u w:val="single"/>
        </w:rPr>
        <w:t xml:space="preserve"> </w:t>
      </w:r>
      <w:r>
        <w:rPr>
          <w:rFonts w:hint="eastAsia" w:ascii="仿宋" w:hAnsi="仿宋" w:eastAsia="仿宋" w:cs="仿宋"/>
          <w:snapToGrid w:val="0"/>
          <w:color w:val="auto"/>
          <w:sz w:val="28"/>
          <w:szCs w:val="28"/>
        </w:rPr>
        <w:t>年，且具有良好的技术力量、商业信誉和售后服务体系的设备（系统）分销商、厂商。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投标商</w:t>
      </w:r>
      <w:r>
        <w:rPr>
          <w:rFonts w:hint="eastAsia" w:ascii="仿宋" w:hAnsi="仿宋" w:eastAsia="仿宋" w:cs="仿宋"/>
          <w:snapToGrid w:val="0"/>
          <w:color w:val="auto"/>
          <w:sz w:val="28"/>
          <w:szCs w:val="28"/>
          <w:lang w:eastAsia="zh-CN"/>
        </w:rPr>
        <w:t>（</w:t>
      </w:r>
      <w:r>
        <w:rPr>
          <w:rFonts w:hint="eastAsia" w:ascii="仿宋" w:hAnsi="仿宋" w:eastAsia="仿宋" w:cs="仿宋"/>
          <w:snapToGrid w:val="0"/>
          <w:color w:val="auto"/>
          <w:sz w:val="28"/>
          <w:szCs w:val="28"/>
          <w:lang w:val="en-US" w:eastAsia="zh-CN"/>
        </w:rPr>
        <w:t>如为代理商)则</w:t>
      </w:r>
      <w:r>
        <w:rPr>
          <w:rFonts w:hint="eastAsia" w:ascii="仿宋" w:hAnsi="仿宋" w:eastAsia="仿宋" w:cs="仿宋"/>
          <w:snapToGrid w:val="0"/>
          <w:color w:val="auto"/>
          <w:sz w:val="28"/>
          <w:szCs w:val="28"/>
        </w:rPr>
        <w:t>需具有原厂授权、认证资格，并具有一定数量的获得认证的工程师。</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投标人必须具有良好的经济和技术实力，能够按时提交招标人要求的交付件，并能够及时地提供招标人要求的优质服务。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投标人近3年来签署过类似合同、承担过类似项目及成功案例，案例数不少于</w:t>
      </w:r>
      <w:r>
        <w:rPr>
          <w:rFonts w:hint="eastAsia" w:ascii="仿宋" w:hAnsi="仿宋" w:eastAsia="仿宋" w:cs="仿宋"/>
          <w:snapToGrid w:val="0"/>
          <w:color w:val="auto"/>
          <w:sz w:val="28"/>
          <w:szCs w:val="28"/>
          <w:highlight w:val="yellow"/>
          <w:u w:val="single"/>
          <w:lang w:val="en-US" w:eastAsia="zh-CN"/>
        </w:rPr>
        <w:t xml:space="preserve"> </w:t>
      </w:r>
      <w:r>
        <w:rPr>
          <w:rFonts w:hint="eastAsia" w:ascii="仿宋" w:hAnsi="仿宋" w:eastAsia="仿宋" w:cs="仿宋"/>
          <w:snapToGrid w:val="0"/>
          <w:color w:val="auto"/>
          <w:sz w:val="28"/>
          <w:szCs w:val="28"/>
          <w:highlight w:val="yellow"/>
          <w:u w:val="single"/>
        </w:rPr>
        <w:t>3</w:t>
      </w:r>
      <w:r>
        <w:rPr>
          <w:rFonts w:hint="eastAsia" w:ascii="仿宋" w:hAnsi="仿宋" w:eastAsia="仿宋" w:cs="仿宋"/>
          <w:snapToGrid w:val="0"/>
          <w:color w:val="auto"/>
          <w:sz w:val="28"/>
          <w:szCs w:val="28"/>
          <w:highlight w:val="yellow"/>
          <w:u w:val="single"/>
          <w:lang w:val="en-US" w:eastAsia="zh-CN"/>
        </w:rPr>
        <w:t xml:space="preserve"> </w:t>
      </w:r>
      <w:r>
        <w:rPr>
          <w:rFonts w:hint="eastAsia" w:ascii="仿宋" w:hAnsi="仿宋" w:eastAsia="仿宋" w:cs="仿宋"/>
          <w:snapToGrid w:val="0"/>
          <w:color w:val="auto"/>
          <w:sz w:val="28"/>
          <w:szCs w:val="28"/>
        </w:rPr>
        <w:t>个。投标人应具备相应实施资格。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标的项目中如包含的第三方产品和服务，要求投标人出具第三方授权书（包括产品、服务功能和价格），招标人保留对该第三方资格认定及与其直接签署合同的权利。</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投标费用</w:t>
      </w:r>
    </w:p>
    <w:p>
      <w:pPr>
        <w:numPr>
          <w:ilvl w:val="-1"/>
          <w:numId w:val="0"/>
        </w:numPr>
        <w:autoSpaceDE w:val="0"/>
        <w:autoSpaceDN w:val="0"/>
        <w:adjustRightInd w:val="0"/>
        <w:spacing w:line="560" w:lineRule="atLeast"/>
        <w:ind w:left="0" w:firstLine="624"/>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招标文件的解释及咨询</w:t>
      </w:r>
    </w:p>
    <w:p>
      <w:pPr>
        <w:autoSpaceDE w:val="0"/>
        <w:autoSpaceDN w:val="0"/>
        <w:adjustRightInd w:val="0"/>
        <w:spacing w:line="560" w:lineRule="atLeast"/>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auto"/>
          <w:sz w:val="28"/>
          <w:szCs w:val="28"/>
        </w:rPr>
      </w:pPr>
      <w:r>
        <w:rPr>
          <w:rFonts w:hint="eastAsia" w:ascii="仿宋" w:hAnsi="仿宋" w:eastAsia="仿宋" w:cs="仿宋"/>
          <w:b/>
          <w:bCs/>
          <w:snapToGrid w:val="0"/>
          <w:color w:val="auto"/>
          <w:sz w:val="28"/>
          <w:szCs w:val="28"/>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要求</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 w:hAnsi="仿宋" w:eastAsia="仿宋" w:cs="仿宋"/>
          <w:snapToGrid w:val="0"/>
          <w:color w:val="auto"/>
          <w:sz w:val="28"/>
          <w:szCs w:val="28"/>
        </w:rPr>
      </w:pPr>
      <w:r>
        <w:rPr>
          <w:rFonts w:hint="eastAsia" w:ascii="仿宋" w:hAnsi="仿宋" w:eastAsia="仿宋" w:cs="仿宋"/>
          <w:b/>
          <w:bCs/>
          <w:snapToGrid w:val="0"/>
          <w:color w:val="auto"/>
          <w:sz w:val="28"/>
          <w:szCs w:val="28"/>
        </w:rPr>
        <w:t>必须按照本招标文件要求制作</w:t>
      </w:r>
      <w:r>
        <w:rPr>
          <w:rFonts w:hint="eastAsia" w:ascii="仿宋" w:hAnsi="仿宋" w:eastAsia="仿宋" w:cs="仿宋"/>
          <w:snapToGrid w:val="0"/>
          <w:color w:val="auto"/>
          <w:sz w:val="28"/>
          <w:szCs w:val="28"/>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lang w:eastAsia="zh-CN"/>
        </w:rPr>
      </w:pPr>
      <w:r>
        <w:rPr>
          <w:rFonts w:hint="eastAsia" w:ascii="仿宋" w:hAnsi="仿宋" w:eastAsia="仿宋" w:cs="仿宋"/>
          <w:b/>
          <w:bCs/>
          <w:snapToGrid w:val="0"/>
          <w:color w:val="auto"/>
          <w:sz w:val="24"/>
          <w:szCs w:val="24"/>
          <w:lang w:eastAsia="zh-CN"/>
        </w:rPr>
        <w:t>附件</w:t>
      </w:r>
      <w:r>
        <w:rPr>
          <w:rFonts w:hint="eastAsia" w:ascii="仿宋" w:hAnsi="仿宋" w:eastAsia="仿宋" w:cs="仿宋"/>
          <w:b/>
          <w:bCs/>
          <w:snapToGrid w:val="0"/>
          <w:color w:val="auto"/>
          <w:sz w:val="24"/>
          <w:szCs w:val="24"/>
          <w:lang w:val="en-US" w:eastAsia="zh-CN"/>
        </w:rPr>
        <w:t>1</w:t>
      </w:r>
      <w:r>
        <w:rPr>
          <w:rFonts w:hint="eastAsia" w:ascii="仿宋" w:hAnsi="仿宋" w:eastAsia="仿宋" w:cs="仿宋"/>
          <w:b/>
          <w:bCs/>
          <w:snapToGrid w:val="0"/>
          <w:color w:val="auto"/>
          <w:sz w:val="24"/>
          <w:szCs w:val="24"/>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lang w:eastAsia="zh-CN"/>
        </w:rPr>
        <w:t>说明：</w:t>
      </w:r>
      <w:r>
        <w:rPr>
          <w:rFonts w:hint="eastAsia" w:ascii="仿宋" w:hAnsi="仿宋" w:eastAsia="仿宋" w:cs="仿宋"/>
          <w:snapToGrid w:val="0"/>
          <w:color w:val="auto"/>
          <w:sz w:val="24"/>
          <w:szCs w:val="24"/>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lang w:eastAsia="zh-CN"/>
        </w:rPr>
      </w:pPr>
      <w:r>
        <w:rPr>
          <w:rFonts w:hint="eastAsia" w:ascii="仿宋" w:hAnsi="仿宋" w:eastAsia="仿宋" w:cs="仿宋"/>
          <w:b/>
          <w:bCs/>
          <w:snapToGrid w:val="0"/>
          <w:color w:val="auto"/>
          <w:sz w:val="24"/>
          <w:szCs w:val="24"/>
          <w:lang w:eastAsia="zh-CN"/>
        </w:rPr>
        <w:t>附件</w:t>
      </w:r>
      <w:r>
        <w:rPr>
          <w:rFonts w:hint="eastAsia" w:ascii="仿宋" w:hAnsi="仿宋" w:eastAsia="仿宋" w:cs="仿宋"/>
          <w:b/>
          <w:bCs/>
          <w:snapToGrid w:val="0"/>
          <w:color w:val="auto"/>
          <w:sz w:val="24"/>
          <w:szCs w:val="24"/>
          <w:lang w:val="en-US" w:eastAsia="zh-CN"/>
        </w:rPr>
        <w:t>2：</w:t>
      </w:r>
      <w:r>
        <w:rPr>
          <w:rFonts w:hint="eastAsia" w:ascii="仿宋" w:hAnsi="仿宋" w:eastAsia="仿宋" w:cs="仿宋"/>
          <w:b/>
          <w:bCs/>
          <w:snapToGrid w:val="0"/>
          <w:color w:val="auto"/>
          <w:sz w:val="24"/>
          <w:szCs w:val="24"/>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lang w:eastAsia="zh-CN"/>
        </w:rPr>
      </w:pPr>
      <w:r>
        <w:rPr>
          <w:rFonts w:hint="eastAsia" w:ascii="仿宋" w:hAnsi="仿宋" w:eastAsia="仿宋" w:cs="仿宋"/>
          <w:b/>
          <w:bCs/>
          <w:snapToGrid w:val="0"/>
          <w:color w:val="auto"/>
          <w:sz w:val="24"/>
          <w:szCs w:val="24"/>
          <w:lang w:eastAsia="zh-CN"/>
        </w:rPr>
        <w:t>附件</w:t>
      </w:r>
      <w:r>
        <w:rPr>
          <w:rFonts w:hint="eastAsia" w:ascii="仿宋" w:hAnsi="仿宋" w:eastAsia="仿宋" w:cs="仿宋"/>
          <w:b/>
          <w:bCs/>
          <w:snapToGrid w:val="0"/>
          <w:color w:val="auto"/>
          <w:sz w:val="24"/>
          <w:szCs w:val="24"/>
          <w:lang w:val="en-US" w:eastAsia="zh-CN"/>
        </w:rPr>
        <w:t>3：</w:t>
      </w:r>
      <w:r>
        <w:rPr>
          <w:rFonts w:hint="eastAsia" w:ascii="仿宋" w:hAnsi="仿宋" w:eastAsia="仿宋" w:cs="仿宋"/>
          <w:b/>
          <w:bCs/>
          <w:snapToGrid w:val="0"/>
          <w:color w:val="auto"/>
          <w:sz w:val="24"/>
          <w:szCs w:val="24"/>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lang w:eastAsia="zh-CN"/>
        </w:rPr>
      </w:pPr>
      <w:r>
        <w:rPr>
          <w:rFonts w:hint="eastAsia" w:ascii="仿宋" w:hAnsi="仿宋" w:eastAsia="仿宋" w:cs="仿宋"/>
          <w:b/>
          <w:bCs/>
          <w:snapToGrid w:val="0"/>
          <w:color w:val="auto"/>
          <w:sz w:val="24"/>
          <w:szCs w:val="24"/>
          <w:lang w:eastAsia="zh-CN"/>
        </w:rPr>
        <w:t>附件</w:t>
      </w:r>
      <w:r>
        <w:rPr>
          <w:rFonts w:hint="eastAsia" w:ascii="仿宋" w:hAnsi="仿宋" w:eastAsia="仿宋" w:cs="仿宋"/>
          <w:b/>
          <w:bCs/>
          <w:snapToGrid w:val="0"/>
          <w:color w:val="auto"/>
          <w:sz w:val="24"/>
          <w:szCs w:val="24"/>
          <w:lang w:val="en-US" w:eastAsia="zh-CN"/>
        </w:rPr>
        <w:t>4：</w:t>
      </w:r>
      <w:r>
        <w:rPr>
          <w:rFonts w:hint="eastAsia" w:ascii="仿宋" w:hAnsi="仿宋" w:eastAsia="仿宋" w:cs="仿宋"/>
          <w:b/>
          <w:bCs/>
          <w:snapToGrid w:val="0"/>
          <w:color w:val="auto"/>
          <w:sz w:val="24"/>
          <w:szCs w:val="24"/>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highlight w:val="yellow"/>
          <w:lang w:eastAsia="zh-CN"/>
        </w:rPr>
      </w:pPr>
      <w:r>
        <w:rPr>
          <w:rFonts w:hint="eastAsia" w:ascii="仿宋" w:hAnsi="仿宋" w:eastAsia="仿宋" w:cs="仿宋"/>
          <w:snapToGrid w:val="0"/>
          <w:color w:val="auto"/>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lang w:val="en-US" w:eastAsia="zh-CN"/>
        </w:rPr>
      </w:pPr>
      <w:r>
        <w:rPr>
          <w:rFonts w:hint="eastAsia" w:ascii="仿宋" w:hAnsi="仿宋" w:eastAsia="仿宋" w:cs="仿宋"/>
          <w:b/>
          <w:bCs/>
          <w:snapToGrid w:val="0"/>
          <w:color w:val="auto"/>
          <w:sz w:val="24"/>
          <w:szCs w:val="24"/>
          <w:lang w:eastAsia="zh-CN"/>
        </w:rPr>
        <w:t>附件</w:t>
      </w:r>
      <w:r>
        <w:rPr>
          <w:rFonts w:hint="eastAsia" w:ascii="仿宋" w:hAnsi="仿宋" w:eastAsia="仿宋" w:cs="仿宋"/>
          <w:b/>
          <w:bCs/>
          <w:snapToGrid w:val="0"/>
          <w:color w:val="auto"/>
          <w:sz w:val="24"/>
          <w:szCs w:val="24"/>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说明：根据我行项目实施计划、业务需求（已列明）、我行现有系统列表、我行硬件服务器配置清单等要求，投标人应提供：</w:t>
      </w:r>
    </w:p>
    <w:p>
      <w:pPr>
        <w:numPr>
          <w:ilvl w:val="0"/>
          <w:numId w:val="0"/>
        </w:numPr>
        <w:autoSpaceDE w:val="0"/>
        <w:autoSpaceDN w:val="0"/>
        <w:adjustRightInd w:val="0"/>
        <w:jc w:val="left"/>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说明：投标方必须提供实际参与项目实施的成员列表及其</w:t>
      </w:r>
      <w:r>
        <w:rPr>
          <w:rFonts w:hint="eastAsia" w:ascii="仿宋" w:hAnsi="仿宋" w:eastAsia="仿宋" w:cs="仿宋"/>
          <w:b/>
          <w:bCs/>
          <w:snapToGrid w:val="0"/>
          <w:color w:val="auto"/>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说明：</w:t>
      </w:r>
      <w:r>
        <w:rPr>
          <w:rFonts w:hint="eastAsia" w:ascii="仿宋" w:hAnsi="仿宋" w:eastAsia="仿宋" w:cs="仿宋"/>
          <w:snapToGrid w:val="0"/>
          <w:color w:val="auto"/>
          <w:sz w:val="24"/>
          <w:szCs w:val="24"/>
          <w:lang w:eastAsia="zh-CN"/>
        </w:rPr>
        <w:t>投标人提供营业执照复印件等相关资质证明文件并</w:t>
      </w:r>
      <w:r>
        <w:rPr>
          <w:rFonts w:hint="eastAsia" w:ascii="仿宋" w:hAnsi="仿宋" w:eastAsia="仿宋" w:cs="仿宋"/>
          <w:snapToGrid w:val="0"/>
          <w:color w:val="auto"/>
          <w:sz w:val="24"/>
          <w:szCs w:val="24"/>
          <w:highlight w:val="none"/>
          <w:lang w:val="en-US" w:eastAsia="zh-CN"/>
        </w:rPr>
        <w:t>按表格要求提供至少近三年的实施案例情况，并附证明文件，加盖公章。</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auto"/>
          <w:sz w:val="28"/>
          <w:szCs w:val="28"/>
        </w:rPr>
      </w:pPr>
      <w:r>
        <w:rPr>
          <w:rFonts w:hint="eastAsia" w:ascii="仿宋" w:hAnsi="仿宋" w:eastAsia="仿宋" w:cs="仿宋"/>
          <w:b/>
          <w:bCs/>
          <w:snapToGrid w:val="0"/>
          <w:color w:val="auto"/>
          <w:sz w:val="28"/>
          <w:szCs w:val="28"/>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投标文件的密封和递交</w:t>
      </w:r>
    </w:p>
    <w:p>
      <w:pPr>
        <w:autoSpaceDE w:val="0"/>
        <w:autoSpaceDN w:val="0"/>
        <w:adjustRightInd w:val="0"/>
        <w:spacing w:line="560" w:lineRule="atLeast"/>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每一密封信封上注明“于开标前不准启封”的字样。</w:t>
      </w:r>
    </w:p>
    <w:p>
      <w:pPr>
        <w:autoSpaceDE w:val="0"/>
        <w:autoSpaceDN w:val="0"/>
        <w:adjustRightInd w:val="0"/>
        <w:spacing w:line="560" w:lineRule="atLeast"/>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投标文件的修改和撤回</w:t>
      </w:r>
    </w:p>
    <w:p>
      <w:pPr>
        <w:autoSpaceDE w:val="0"/>
        <w:autoSpaceDN w:val="0"/>
        <w:adjustRightInd w:val="0"/>
        <w:spacing w:line="560" w:lineRule="atLeast"/>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auto"/>
          <w:sz w:val="28"/>
          <w:szCs w:val="28"/>
        </w:rPr>
      </w:pPr>
      <w:r>
        <w:rPr>
          <w:rFonts w:hint="eastAsia" w:ascii="仿宋" w:hAnsi="仿宋" w:eastAsia="仿宋" w:cs="仿宋"/>
          <w:b/>
          <w:bCs/>
          <w:snapToGrid w:val="0"/>
          <w:color w:val="auto"/>
          <w:sz w:val="28"/>
          <w:szCs w:val="28"/>
        </w:rPr>
        <w:t>投标保证金</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投标人须按规定交纳投标保证金:</w:t>
      </w:r>
    </w:p>
    <w:p>
      <w:pPr>
        <w:numPr>
          <w:ilvl w:val="0"/>
          <w:numId w:val="0"/>
        </w:numPr>
        <w:autoSpaceDE w:val="0"/>
        <w:autoSpaceDN w:val="0"/>
        <w:adjustRightInd w:val="0"/>
        <w:ind w:firstLine="1120" w:firstLineChars="4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人民币</w:t>
      </w:r>
      <w:r>
        <w:rPr>
          <w:rFonts w:hint="eastAsia" w:ascii="仿宋" w:hAnsi="仿宋" w:eastAsia="仿宋" w:cs="仿宋"/>
          <w:snapToGrid w:val="0"/>
          <w:color w:val="auto"/>
          <w:sz w:val="28"/>
          <w:szCs w:val="28"/>
          <w:u w:val="single"/>
          <w:lang w:val="en-US" w:eastAsia="zh-CN"/>
        </w:rPr>
        <w:t>壹拾伍万</w:t>
      </w:r>
      <w:r>
        <w:rPr>
          <w:rFonts w:hint="eastAsia" w:ascii="仿宋" w:hAnsi="仿宋" w:eastAsia="仿宋" w:cs="仿宋"/>
          <w:snapToGrid w:val="0"/>
          <w:color w:val="auto"/>
          <w:sz w:val="28"/>
          <w:szCs w:val="28"/>
          <w:u w:val="single"/>
        </w:rPr>
        <w:t>元</w:t>
      </w:r>
      <w:r>
        <w:rPr>
          <w:rFonts w:hint="eastAsia" w:ascii="仿宋" w:hAnsi="仿宋" w:eastAsia="仿宋" w:cs="仿宋"/>
          <w:snapToGrid w:val="0"/>
          <w:color w:val="auto"/>
          <w:sz w:val="28"/>
          <w:szCs w:val="28"/>
          <w:u w:val="single"/>
          <w:lang w:val="en-US" w:eastAsia="zh-CN"/>
        </w:rPr>
        <w:t>整</w:t>
      </w:r>
      <w:r>
        <w:rPr>
          <w:rFonts w:hint="eastAsia" w:ascii="仿宋" w:hAnsi="仿宋" w:eastAsia="仿宋" w:cs="仿宋"/>
          <w:snapToGrid w:val="0"/>
          <w:color w:val="auto"/>
          <w:sz w:val="28"/>
          <w:szCs w:val="28"/>
        </w:rPr>
        <w:t>;</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投标保证金可以使用电汇、网上银行转帐的形式提交并写明</w:t>
      </w:r>
      <w:r>
        <w:rPr>
          <w:rFonts w:hint="eastAsia" w:ascii="仿宋" w:hAnsi="仿宋" w:eastAsia="仿宋" w:cs="仿宋"/>
          <w:snapToGrid w:val="0"/>
          <w:color w:val="auto"/>
          <w:sz w:val="28"/>
          <w:szCs w:val="28"/>
          <w:highlight w:val="yellow"/>
        </w:rPr>
        <w:t>投标编号及标段、联系方式</w:t>
      </w:r>
      <w:r>
        <w:rPr>
          <w:rFonts w:hint="eastAsia" w:ascii="仿宋" w:hAnsi="仿宋" w:eastAsia="仿宋" w:cs="仿宋"/>
          <w:snapToGrid w:val="0"/>
          <w:color w:val="auto"/>
          <w:sz w:val="28"/>
          <w:szCs w:val="28"/>
        </w:rPr>
        <w:t>，以便招标人核对查实。</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账号：101290001022913950</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开户行：常熟农商银行营业部</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受理时间：法定工作日9:00～16:00，</w:t>
      </w:r>
    </w:p>
    <w:p>
      <w:pPr>
        <w:numPr>
          <w:ilvl w:val="0"/>
          <w:numId w:val="0"/>
        </w:numPr>
        <w:autoSpaceDE w:val="0"/>
        <w:autoSpaceDN w:val="0"/>
        <w:adjustRightInd w:val="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（1）中标人在收到中标通知书后，无法定正当理由拒签合同协议书或未按招标文件规定提交履约保证金;</w:t>
      </w:r>
    </w:p>
    <w:p>
      <w:pPr>
        <w:numPr>
          <w:ilvl w:val="0"/>
          <w:numId w:val="0"/>
        </w:numPr>
        <w:autoSpaceDE w:val="0"/>
        <w:autoSpaceDN w:val="0"/>
        <w:adjustRightInd w:val="0"/>
        <w:ind w:leftChars="200"/>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（2）中标人的违法行为导致中标被依法确认无效的;</w:t>
      </w:r>
    </w:p>
    <w:p>
      <w:pPr>
        <w:numPr>
          <w:ilvl w:val="0"/>
          <w:numId w:val="0"/>
        </w:numPr>
        <w:autoSpaceDE w:val="0"/>
        <w:autoSpaceDN w:val="0"/>
        <w:adjustRightInd w:val="0"/>
        <w:ind w:leftChars="200"/>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（3）投标人在投标有效期内撤销或修改其投标文件;</w:t>
      </w:r>
    </w:p>
    <w:p>
      <w:pPr>
        <w:numPr>
          <w:ilvl w:val="0"/>
          <w:numId w:val="0"/>
        </w:numPr>
        <w:autoSpaceDE w:val="0"/>
        <w:autoSpaceDN w:val="0"/>
        <w:adjustRightInd w:val="0"/>
        <w:ind w:leftChars="200"/>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（4）其它违法违规行为，经查情况属实的。</w:t>
      </w:r>
    </w:p>
    <w:p>
      <w:pPr>
        <w:numPr>
          <w:ilvl w:val="0"/>
          <w:numId w:val="0"/>
        </w:numPr>
        <w:autoSpaceDE w:val="0"/>
        <w:autoSpaceDN w:val="0"/>
        <w:adjustRightInd w:val="0"/>
        <w:ind w:firstLine="560" w:firstLineChars="200"/>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7.非中标候选人，在中标公示期结束后10个工作日内，可办理投标保证金的无息退还。</w:t>
      </w:r>
    </w:p>
    <w:p>
      <w:pPr>
        <w:numPr>
          <w:ilvl w:val="0"/>
          <w:numId w:val="0"/>
        </w:numPr>
        <w:autoSpaceDE w:val="0"/>
        <w:autoSpaceDN w:val="0"/>
        <w:adjustRightInd w:val="0"/>
        <w:ind w:firstLine="560" w:firstLineChars="200"/>
        <w:jc w:val="left"/>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8.中标人收到中标通知书，并提交履约保证金后，可办理投标保证金的无息退还。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atLeast"/>
        <w:ind w:leftChars="200" w:right="0" w:rightChars="0"/>
        <w:jc w:val="left"/>
        <w:textAlignment w:val="auto"/>
        <w:outlineLvl w:val="1"/>
        <w:rPr>
          <w:rFonts w:hint="eastAsia" w:ascii="仿宋" w:hAnsi="仿宋" w:eastAsia="仿宋" w:cs="仿宋"/>
          <w:b/>
          <w:bCs/>
          <w:snapToGrid w:val="0"/>
          <w:color w:val="auto"/>
          <w:sz w:val="28"/>
          <w:szCs w:val="28"/>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auto"/>
          <w:sz w:val="28"/>
          <w:szCs w:val="28"/>
        </w:rPr>
      </w:pPr>
      <w:r>
        <w:rPr>
          <w:rFonts w:hint="eastAsia" w:ascii="仿宋" w:hAnsi="仿宋" w:eastAsia="仿宋" w:cs="仿宋"/>
          <w:b/>
          <w:bCs/>
          <w:snapToGrid w:val="0"/>
          <w:color w:val="auto"/>
          <w:sz w:val="28"/>
          <w:szCs w:val="28"/>
        </w:rPr>
        <w:t>开标和评标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开标</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highlight w:val="none"/>
        </w:rPr>
        <w:t>所有投标人均应派代表到场参加开标，</w:t>
      </w:r>
      <w:r>
        <w:rPr>
          <w:rFonts w:hint="eastAsia" w:ascii="仿宋" w:hAnsi="仿宋" w:eastAsia="仿宋" w:cs="仿宋"/>
          <w:snapToGrid w:val="0"/>
          <w:color w:val="auto"/>
          <w:sz w:val="28"/>
          <w:szCs w:val="28"/>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开标过程由投标人进行时间不超过30分钟的讲标，必须由此项目的实施</w:t>
      </w:r>
      <w:r>
        <w:rPr>
          <w:rFonts w:hint="eastAsia" w:ascii="仿宋" w:hAnsi="仿宋" w:eastAsia="仿宋" w:cs="仿宋"/>
          <w:snapToGrid w:val="0"/>
          <w:color w:val="auto"/>
          <w:sz w:val="28"/>
          <w:szCs w:val="28"/>
          <w:highlight w:val="none"/>
        </w:rPr>
        <w:t>项目经理讲标</w:t>
      </w:r>
      <w:r>
        <w:rPr>
          <w:rFonts w:hint="eastAsia" w:ascii="仿宋" w:hAnsi="仿宋" w:eastAsia="仿宋" w:cs="仿宋"/>
          <w:snapToGrid w:val="0"/>
          <w:color w:val="auto"/>
          <w:sz w:val="28"/>
          <w:szCs w:val="28"/>
          <w:highlight w:val="none"/>
          <w:lang w:eastAsia="zh-CN"/>
        </w:rPr>
        <w:t>，不得随意变更</w:t>
      </w:r>
      <w:r>
        <w:rPr>
          <w:rFonts w:hint="eastAsia" w:ascii="仿宋" w:hAnsi="仿宋" w:eastAsia="仿宋" w:cs="仿宋"/>
          <w:snapToGrid w:val="0"/>
          <w:color w:val="auto"/>
          <w:sz w:val="28"/>
          <w:szCs w:val="28"/>
        </w:rPr>
        <w:t>。</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招标人根据</w:t>
      </w:r>
      <w:r>
        <w:rPr>
          <w:rFonts w:hint="eastAsia" w:ascii="仿宋" w:hAnsi="仿宋" w:eastAsia="仿宋" w:cs="仿宋"/>
          <w:snapToGrid w:val="0"/>
          <w:color w:val="auto"/>
          <w:sz w:val="28"/>
          <w:szCs w:val="28"/>
          <w:lang w:eastAsia="zh-CN"/>
        </w:rPr>
        <w:t>包括但不限于以下</w:t>
      </w:r>
      <w:r>
        <w:rPr>
          <w:rFonts w:hint="eastAsia" w:ascii="仿宋" w:hAnsi="仿宋" w:eastAsia="仿宋" w:cs="仿宋"/>
          <w:snapToGrid w:val="0"/>
          <w:color w:val="auto"/>
          <w:sz w:val="28"/>
          <w:szCs w:val="28"/>
        </w:rPr>
        <w:t>投标条件进行比较：</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投标价格；</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投标人整体实力及成功案例总数；</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投标人技术方案、成功案例分析及产品特制设计；</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投标人技术实力（项目经理及项目成员、售后服务能力及项目人员配置</w:t>
      </w:r>
      <w:r>
        <w:rPr>
          <w:rFonts w:hint="eastAsia" w:ascii="仿宋" w:hAnsi="仿宋" w:eastAsia="仿宋" w:cs="仿宋"/>
          <w:snapToGrid w:val="0"/>
          <w:color w:val="auto"/>
          <w:sz w:val="28"/>
          <w:szCs w:val="28"/>
          <w:lang w:eastAsia="zh-CN"/>
        </w:rPr>
        <w:t>、</w:t>
      </w:r>
      <w:r>
        <w:rPr>
          <w:rFonts w:hint="eastAsia" w:ascii="仿宋" w:hAnsi="仿宋" w:eastAsia="仿宋" w:cs="仿宋"/>
          <w:snapToGrid w:val="0"/>
          <w:color w:val="auto"/>
          <w:sz w:val="28"/>
          <w:szCs w:val="28"/>
          <w:lang w:val="en-US" w:eastAsia="zh-CN"/>
        </w:rPr>
        <w:t>POC情况等</w:t>
      </w:r>
      <w:r>
        <w:rPr>
          <w:rFonts w:hint="eastAsia" w:ascii="仿宋" w:hAnsi="仿宋" w:eastAsia="仿宋" w:cs="仿宋"/>
          <w:snapToGrid w:val="0"/>
          <w:color w:val="auto"/>
          <w:sz w:val="28"/>
          <w:szCs w:val="28"/>
        </w:rPr>
        <w:t>）</w:t>
      </w:r>
      <w:r>
        <w:rPr>
          <w:rFonts w:hint="eastAsia" w:ascii="仿宋" w:hAnsi="仿宋" w:eastAsia="仿宋" w:cs="仿宋"/>
          <w:snapToGrid w:val="0"/>
          <w:color w:val="auto"/>
          <w:sz w:val="28"/>
          <w:szCs w:val="28"/>
          <w:lang w:eastAsia="zh-CN"/>
        </w:rPr>
        <w:t>；</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投标人的资信情况和履约能力；</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投标人提供的其他优惠条件。</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投标文件的审查</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开标后，招标人将组织审查投标文件是否完整，是否有计算错误，文件签署</w:t>
      </w:r>
      <w:r>
        <w:rPr>
          <w:rFonts w:hint="eastAsia" w:ascii="仿宋" w:hAnsi="仿宋" w:eastAsia="仿宋" w:cs="仿宋"/>
          <w:snapToGrid w:val="0"/>
          <w:color w:val="auto"/>
          <w:sz w:val="28"/>
          <w:szCs w:val="28"/>
          <w:lang w:eastAsia="zh-CN"/>
        </w:rPr>
        <w:t>是否符合要求</w:t>
      </w:r>
      <w:r>
        <w:rPr>
          <w:rFonts w:hint="eastAsia" w:ascii="仿宋" w:hAnsi="仿宋" w:eastAsia="仿宋" w:cs="仿宋"/>
          <w:snapToGrid w:val="0"/>
          <w:color w:val="auto"/>
          <w:sz w:val="28"/>
          <w:szCs w:val="28"/>
        </w:rPr>
        <w:t>。</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招标人将确定每一投标是否对招标文件的要求作出了实质性的响应，而没有明显的偏离或保留。</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招标人判断投标文件的响应性仅基于投标文件本身而不靠外部证据。</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招标人将拒绝被确定为非实质性响应的投标，投标人不能通过修正或撤销不符之处而使其投标成为实质性响应的投标。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投标文件的澄清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澄清应是书面的，并由法定代表人或其授权代理人签字。</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投标人的澄清文件是投标文件的组成部分，并取代投标文件中被澄清的部分。</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投标文件的澄清不得对投标内容进行实质性修改。</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评标工作</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招标人将按照公开、公平、公正的原则对待所有投标人。</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评标是招标工作的重要环节，评标工作在招标人内独立进行。</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招标人不承诺报价最低者为中标者。</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在投标、开标期间，投标人不得向招标人询问情况，不得进行旨在影响评标结果的活动，招标人保留对投标人进行疑问咨询的权力。</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在投标、评标过程中，如有投标人联合故意抬高报价或其他不正当行为，招标人有权中止投标或评标。</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auto"/>
          <w:sz w:val="28"/>
          <w:szCs w:val="28"/>
        </w:rPr>
      </w:pPr>
      <w:r>
        <w:rPr>
          <w:rFonts w:hint="eastAsia" w:ascii="仿宋" w:hAnsi="仿宋" w:eastAsia="仿宋" w:cs="仿宋"/>
          <w:b/>
          <w:bCs/>
          <w:snapToGrid w:val="0"/>
          <w:color w:val="auto"/>
          <w:sz w:val="28"/>
          <w:szCs w:val="28"/>
        </w:rPr>
        <w:t>中标</w:t>
      </w:r>
      <w:r>
        <w:rPr>
          <w:rFonts w:hint="eastAsia" w:ascii="仿宋" w:hAnsi="仿宋" w:eastAsia="仿宋" w:cs="仿宋"/>
          <w:b/>
          <w:bCs/>
          <w:snapToGrid w:val="0"/>
          <w:color w:val="auto"/>
          <w:sz w:val="28"/>
          <w:szCs w:val="28"/>
          <w:lang w:eastAsia="zh-CN"/>
        </w:rPr>
        <w:t>、</w:t>
      </w:r>
      <w:r>
        <w:rPr>
          <w:rFonts w:hint="eastAsia" w:ascii="仿宋" w:hAnsi="仿宋" w:eastAsia="仿宋" w:cs="仿宋"/>
          <w:b/>
          <w:bCs/>
          <w:snapToGrid w:val="0"/>
          <w:color w:val="auto"/>
          <w:sz w:val="28"/>
          <w:szCs w:val="28"/>
          <w:lang w:val="en-US" w:eastAsia="zh-CN"/>
        </w:rPr>
        <w:t>履约保证金</w:t>
      </w:r>
      <w:r>
        <w:rPr>
          <w:rFonts w:hint="eastAsia" w:ascii="仿宋" w:hAnsi="仿宋" w:eastAsia="仿宋" w:cs="仿宋"/>
          <w:b/>
          <w:bCs/>
          <w:snapToGrid w:val="0"/>
          <w:color w:val="auto"/>
          <w:sz w:val="28"/>
          <w:szCs w:val="28"/>
        </w:rPr>
        <w:t>与签署合同</w:t>
      </w:r>
    </w:p>
    <w:p>
      <w:pPr>
        <w:pStyle w:val="6"/>
        <w:spacing w:after="0" w:line="240" w:lineRule="auto"/>
        <w:ind w:firstLine="560" w:firstLineChars="200"/>
        <w:jc w:val="left"/>
        <w:rPr>
          <w:rFonts w:hint="eastAsia" w:ascii="仿宋" w:hAnsi="仿宋" w:eastAsia="仿宋" w:cs="仿宋"/>
          <w:b w:val="0"/>
          <w:snapToGrid w:val="0"/>
          <w:color w:val="auto"/>
          <w:sz w:val="28"/>
          <w:szCs w:val="28"/>
        </w:rPr>
      </w:pPr>
      <w:r>
        <w:rPr>
          <w:rFonts w:hint="eastAsia" w:ascii="仿宋" w:hAnsi="仿宋" w:eastAsia="仿宋" w:cs="仿宋"/>
          <w:b w:val="0"/>
          <w:snapToGrid w:val="0"/>
          <w:color w:val="auto"/>
          <w:sz w:val="28"/>
          <w:szCs w:val="28"/>
        </w:rPr>
        <w:t>（一）定标原则</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1</w:t>
      </w:r>
      <w:r>
        <w:rPr>
          <w:rFonts w:hint="eastAsia" w:ascii="仿宋" w:hAnsi="仿宋" w:eastAsia="仿宋" w:cs="仿宋"/>
          <w:color w:val="auto"/>
          <w:sz w:val="28"/>
          <w:szCs w:val="28"/>
        </w:rPr>
        <w:t>招标人不承诺向投标方披露招标过程中任何细节，包括中标或落标原因。</w:t>
      </w:r>
    </w:p>
    <w:p>
      <w:pPr>
        <w:pStyle w:val="6"/>
        <w:spacing w:after="0" w:line="240" w:lineRule="auto"/>
        <w:ind w:firstLine="560" w:firstLineChars="200"/>
        <w:jc w:val="left"/>
        <w:rPr>
          <w:rFonts w:hint="eastAsia" w:ascii="仿宋" w:hAnsi="仿宋" w:eastAsia="仿宋" w:cs="仿宋"/>
          <w:b w:val="0"/>
          <w:snapToGrid w:val="0"/>
          <w:color w:val="auto"/>
          <w:sz w:val="28"/>
          <w:szCs w:val="28"/>
        </w:rPr>
      </w:pPr>
      <w:r>
        <w:rPr>
          <w:rFonts w:hint="eastAsia" w:ascii="仿宋" w:hAnsi="仿宋" w:eastAsia="仿宋" w:cs="仿宋"/>
          <w:b w:val="0"/>
          <w:snapToGrid w:val="0"/>
          <w:color w:val="auto"/>
          <w:sz w:val="28"/>
          <w:szCs w:val="28"/>
        </w:rPr>
        <w:t>（二）中标通知</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1.定标后，招标人将发出中标通知。</w:t>
      </w:r>
    </w:p>
    <w:p>
      <w:pPr>
        <w:adjustRightInd w:val="0"/>
        <w:ind w:firstLine="624"/>
        <w:rPr>
          <w:rFonts w:hint="eastAsia" w:ascii="仿宋" w:hAnsi="仿宋" w:eastAsia="仿宋" w:cs="仿宋"/>
          <w:snapToGrid w:val="0"/>
          <w:color w:val="auto"/>
          <w:sz w:val="28"/>
          <w:szCs w:val="28"/>
          <w:highlight w:val="yellow"/>
        </w:rPr>
      </w:pPr>
      <w:r>
        <w:rPr>
          <w:rFonts w:hint="eastAsia" w:ascii="仿宋" w:hAnsi="仿宋" w:eastAsia="仿宋" w:cs="仿宋"/>
          <w:snapToGrid w:val="0"/>
          <w:color w:val="auto"/>
          <w:sz w:val="28"/>
          <w:szCs w:val="28"/>
        </w:rPr>
        <w:t>2.对落标的投标人不再另行发出落标通知。</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3.中标通知将作为招标人与中标人签订合同的依据之一。</w:t>
      </w:r>
    </w:p>
    <w:p>
      <w:pPr>
        <w:pStyle w:val="6"/>
        <w:spacing w:after="0" w:line="240" w:lineRule="auto"/>
        <w:ind w:firstLine="560" w:firstLineChars="200"/>
        <w:jc w:val="left"/>
        <w:rPr>
          <w:rFonts w:hint="eastAsia" w:ascii="仿宋" w:hAnsi="仿宋" w:eastAsia="仿宋" w:cs="仿宋"/>
          <w:b w:val="0"/>
          <w:snapToGrid w:val="0"/>
          <w:color w:val="auto"/>
          <w:sz w:val="28"/>
          <w:szCs w:val="28"/>
        </w:rPr>
      </w:pPr>
      <w:r>
        <w:rPr>
          <w:rFonts w:hint="eastAsia" w:ascii="仿宋" w:hAnsi="仿宋" w:eastAsia="仿宋" w:cs="仿宋"/>
          <w:b w:val="0"/>
          <w:snapToGrid w:val="0"/>
          <w:color w:val="auto"/>
          <w:sz w:val="28"/>
          <w:szCs w:val="28"/>
        </w:rPr>
        <w:t>（三）</w:t>
      </w:r>
      <w:r>
        <w:rPr>
          <w:rFonts w:hint="eastAsia" w:ascii="仿宋" w:hAnsi="仿宋" w:eastAsia="仿宋" w:cs="仿宋"/>
          <w:b w:val="0"/>
          <w:color w:val="auto"/>
          <w:sz w:val="28"/>
          <w:szCs w:val="28"/>
          <w:lang w:val="en-US" w:eastAsia="zh-CN"/>
        </w:rPr>
        <w:t>履约保证金</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1.中标人应当自收到中标通知书之日起30天内，提交合同价10%的履约保证金，并一次性足额存入履约保证金专用账户。</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2、履约保证金应当采用银行转账或电汇等缴纳方式，不直接收取现金、个人存折。</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3.履约保证金</w:t>
      </w:r>
      <w:r>
        <w:rPr>
          <w:rFonts w:hint="eastAsia" w:ascii="仿宋" w:hAnsi="仿宋" w:eastAsia="仿宋" w:cs="仿宋"/>
          <w:snapToGrid w:val="0"/>
          <w:color w:val="auto"/>
          <w:sz w:val="28"/>
          <w:szCs w:val="28"/>
          <w:lang w:val="en-US" w:eastAsia="zh-CN"/>
        </w:rPr>
        <w:t>在</w:t>
      </w:r>
      <w:r>
        <w:rPr>
          <w:rFonts w:hint="eastAsia" w:ascii="仿宋" w:hAnsi="仿宋" w:eastAsia="仿宋" w:cs="仿宋"/>
          <w:snapToGrid w:val="0"/>
          <w:color w:val="auto"/>
          <w:sz w:val="28"/>
          <w:szCs w:val="28"/>
        </w:rPr>
        <w:t>使用电汇、网上银行转帐的形式提交</w:t>
      </w:r>
      <w:r>
        <w:rPr>
          <w:rFonts w:hint="eastAsia" w:ascii="仿宋" w:hAnsi="仿宋" w:eastAsia="仿宋" w:cs="仿宋"/>
          <w:snapToGrid w:val="0"/>
          <w:color w:val="auto"/>
          <w:sz w:val="28"/>
          <w:szCs w:val="28"/>
          <w:lang w:val="en-US" w:eastAsia="zh-CN"/>
        </w:rPr>
        <w:t>时应</w:t>
      </w:r>
      <w:r>
        <w:rPr>
          <w:rFonts w:hint="eastAsia" w:ascii="仿宋" w:hAnsi="仿宋" w:eastAsia="仿宋" w:cs="仿宋"/>
          <w:snapToGrid w:val="0"/>
          <w:color w:val="auto"/>
          <w:sz w:val="28"/>
          <w:szCs w:val="28"/>
        </w:rPr>
        <w:t>写明投标编号及标段、联系方式，以便招标人核对查实。</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户名：江苏常熟农村商业银行股份有限公司（履约保证金）</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账号：101290001022913940</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开户行：常熟农商银行营业部</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受理地点：江苏省常熟市新世纪大道58号；</w:t>
      </w: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受理时间：法定工作日9:00～16:00，交纳时间以履约保证金专用账户实际收到的时间为准。（友情提示：为确保履约保证金能按时到帐，中标人按要求提前将履约保证金汇入专用账户内，以免延误。履约保证金到账查询电话：0512-52739210）</w:t>
      </w:r>
    </w:p>
    <w:p>
      <w:pPr>
        <w:pStyle w:val="6"/>
        <w:spacing w:after="0" w:line="240" w:lineRule="auto"/>
        <w:ind w:firstLine="560" w:firstLineChars="200"/>
        <w:jc w:val="left"/>
        <w:rPr>
          <w:rFonts w:hint="eastAsia" w:ascii="仿宋" w:hAnsi="仿宋" w:eastAsia="仿宋" w:cs="仿宋"/>
          <w:b w:val="0"/>
          <w:snapToGrid w:val="0"/>
          <w:color w:val="auto"/>
          <w:sz w:val="28"/>
          <w:szCs w:val="28"/>
        </w:rPr>
      </w:pPr>
      <w:r>
        <w:rPr>
          <w:rFonts w:hint="eastAsia" w:ascii="仿宋" w:hAnsi="仿宋" w:eastAsia="仿宋" w:cs="仿宋"/>
          <w:b w:val="0"/>
          <w:snapToGrid w:val="0"/>
          <w:color w:val="auto"/>
          <w:sz w:val="28"/>
          <w:szCs w:val="28"/>
        </w:rPr>
        <w:t>（</w:t>
      </w:r>
      <w:r>
        <w:rPr>
          <w:rFonts w:hint="eastAsia" w:ascii="仿宋" w:hAnsi="仿宋" w:eastAsia="仿宋" w:cs="仿宋"/>
          <w:b w:val="0"/>
          <w:snapToGrid w:val="0"/>
          <w:color w:val="auto"/>
          <w:sz w:val="28"/>
          <w:szCs w:val="28"/>
          <w:lang w:val="en-US" w:eastAsia="zh-CN"/>
        </w:rPr>
        <w:t>四</w:t>
      </w:r>
      <w:r>
        <w:rPr>
          <w:rFonts w:hint="eastAsia" w:ascii="仿宋" w:hAnsi="仿宋" w:eastAsia="仿宋" w:cs="仿宋"/>
          <w:b w:val="0"/>
          <w:snapToGrid w:val="0"/>
          <w:color w:val="auto"/>
          <w:sz w:val="28"/>
          <w:szCs w:val="28"/>
        </w:rPr>
        <w:t>）签订合同</w:t>
      </w:r>
    </w:p>
    <w:p>
      <w:pPr>
        <w:numPr>
          <w:ilvl w:val="0"/>
          <w:numId w:val="18"/>
        </w:numPr>
        <w:adjustRightInd w:val="0"/>
        <w:ind w:left="-5" w:leftChars="0" w:firstLine="425"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招标人将按照招标文件和投标人的投标文件与中标人签订书面合同，签订合同之前，双方需对合同的具体细节进行商谈。</w:t>
      </w:r>
    </w:p>
    <w:p>
      <w:pPr>
        <w:numPr>
          <w:ilvl w:val="0"/>
          <w:numId w:val="18"/>
        </w:numPr>
        <w:adjustRightInd w:val="0"/>
        <w:ind w:left="-5" w:leftChars="0" w:firstLine="425"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招标人对有关内容有权作出必要的细化和补充，但有关细化和补充不得背离招标文件和投标文件的实质性内容。</w:t>
      </w:r>
    </w:p>
    <w:p>
      <w:pPr>
        <w:numPr>
          <w:ilvl w:val="0"/>
          <w:numId w:val="18"/>
        </w:numPr>
        <w:adjustRightInd w:val="0"/>
        <w:ind w:left="-5" w:leftChars="0" w:firstLine="425"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招标文件、中标方的投标文件及其澄清文件等，均为签订合同的依据。</w:t>
      </w:r>
    </w:p>
    <w:p>
      <w:pPr>
        <w:tabs>
          <w:tab w:val="left" w:pos="425"/>
        </w:tabs>
        <w:adjustRightInd w:val="0"/>
        <w:rPr>
          <w:rFonts w:hint="eastAsia" w:ascii="仿宋" w:hAnsi="仿宋" w:eastAsia="仿宋" w:cs="仿宋"/>
          <w:snapToGrid w:val="0"/>
          <w:color w:val="auto"/>
          <w:sz w:val="28"/>
          <w:szCs w:val="28"/>
        </w:rPr>
      </w:pPr>
    </w:p>
    <w:p>
      <w:pPr>
        <w:tabs>
          <w:tab w:val="left" w:pos="425"/>
        </w:tabs>
        <w:adjustRightInd w:val="0"/>
        <w:rPr>
          <w:rFonts w:hint="eastAsia" w:ascii="仿宋" w:hAnsi="仿宋" w:eastAsia="仿宋" w:cs="仿宋"/>
          <w:snapToGrid w:val="0"/>
          <w:color w:val="auto"/>
          <w:sz w:val="28"/>
          <w:szCs w:val="28"/>
        </w:rPr>
      </w:pPr>
    </w:p>
    <w:p>
      <w:pPr>
        <w:pStyle w:val="2"/>
        <w:rPr>
          <w:rFonts w:hint="eastAsia" w:ascii="仿宋" w:hAnsi="仿宋" w:eastAsia="仿宋" w:cs="仿宋"/>
          <w:snapToGrid w:val="0"/>
          <w:color w:val="auto"/>
          <w:sz w:val="28"/>
          <w:szCs w:val="28"/>
        </w:rPr>
      </w:pPr>
    </w:p>
    <w:p>
      <w:pPr>
        <w:pStyle w:val="2"/>
        <w:rPr>
          <w:rFonts w:hint="eastAsia" w:ascii="仿宋" w:hAnsi="仿宋" w:eastAsia="仿宋" w:cs="仿宋"/>
          <w:snapToGrid w:val="0"/>
          <w:color w:val="auto"/>
          <w:sz w:val="28"/>
          <w:szCs w:val="28"/>
        </w:rPr>
      </w:pPr>
    </w:p>
    <w:p>
      <w:pPr>
        <w:pStyle w:val="4"/>
        <w:spacing w:after="240"/>
        <w:jc w:val="center"/>
        <w:rPr>
          <w:rFonts w:hint="eastAsia" w:ascii="仿宋" w:hAnsi="仿宋" w:eastAsia="仿宋" w:cs="仿宋"/>
          <w:b/>
          <w:color w:val="auto"/>
          <w:sz w:val="28"/>
          <w:szCs w:val="28"/>
        </w:rPr>
      </w:pPr>
      <w:r>
        <w:rPr>
          <w:rFonts w:hint="eastAsia" w:ascii="仿宋" w:hAnsi="仿宋" w:eastAsia="仿宋" w:cs="仿宋"/>
          <w:b/>
          <w:snapToGrid w:val="0"/>
          <w:color w:val="auto"/>
          <w:szCs w:val="28"/>
        </w:rPr>
        <w:t>第三部分  投标文件格式</w:t>
      </w:r>
    </w:p>
    <w:p>
      <w:pPr>
        <w:pStyle w:val="5"/>
        <w:spacing w:after="0" w:line="240" w:lineRule="auto"/>
        <w:jc w:val="left"/>
        <w:rPr>
          <w:rFonts w:hint="eastAsia" w:ascii="仿宋" w:hAnsi="仿宋" w:eastAsia="仿宋" w:cs="仿宋"/>
          <w:b w:val="0"/>
          <w:snapToGrid w:val="0"/>
          <w:color w:val="auto"/>
          <w:sz w:val="28"/>
          <w:szCs w:val="28"/>
          <w:shd w:val="pct10" w:color="auto" w:fill="FFFFFF"/>
        </w:rPr>
      </w:pPr>
      <w:bookmarkStart w:id="1" w:name="_附件1：《投标书》"/>
      <w:bookmarkEnd w:id="1"/>
      <w:r>
        <w:rPr>
          <w:rFonts w:hint="eastAsia" w:ascii="仿宋" w:hAnsi="仿宋" w:eastAsia="仿宋" w:cs="仿宋"/>
          <w:b w:val="0"/>
          <w:snapToGrid w:val="0"/>
          <w:color w:val="auto"/>
          <w:sz w:val="28"/>
          <w:szCs w:val="28"/>
        </w:rPr>
        <w:t>附件1：投标书</w:t>
      </w:r>
    </w:p>
    <w:p>
      <w:pPr>
        <w:pStyle w:val="21"/>
        <w:adjustRightInd w:val="0"/>
        <w:jc w:val="center"/>
        <w:rPr>
          <w:rFonts w:hint="eastAsia" w:ascii="仿宋" w:hAnsi="仿宋" w:eastAsia="仿宋" w:cs="仿宋"/>
          <w:b/>
          <w:bCs/>
          <w:snapToGrid w:val="0"/>
          <w:color w:val="auto"/>
          <w:sz w:val="32"/>
          <w:szCs w:val="32"/>
        </w:rPr>
      </w:pPr>
      <w:r>
        <w:rPr>
          <w:rFonts w:hint="eastAsia" w:ascii="仿宋" w:hAnsi="仿宋" w:eastAsia="仿宋" w:cs="仿宋"/>
          <w:b/>
          <w:bCs/>
          <w:snapToGrid w:val="0"/>
          <w:color w:val="auto"/>
          <w:sz w:val="32"/>
          <w:szCs w:val="32"/>
        </w:rPr>
        <w:t>投  标  书</w:t>
      </w:r>
    </w:p>
    <w:p>
      <w:pPr>
        <w:pStyle w:val="21"/>
        <w:adjustRightInd w:val="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致：</w:t>
      </w:r>
      <w:r>
        <w:rPr>
          <w:rFonts w:hint="eastAsia" w:ascii="仿宋" w:hAnsi="仿宋" w:eastAsia="仿宋" w:cs="仿宋"/>
          <w:snapToGrid w:val="0"/>
          <w:color w:val="auto"/>
          <w:sz w:val="28"/>
        </w:rPr>
        <w:t>江苏常熟农村商业银行股份有限公司</w:t>
      </w:r>
    </w:p>
    <w:p>
      <w:pPr>
        <w:autoSpaceDE w:val="0"/>
        <w:autoSpaceDN w:val="0"/>
        <w:adjustRightInd w:val="0"/>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根据贵方</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u w:val="single"/>
          <w:lang w:val="en-US" w:eastAsia="zh-CN"/>
        </w:rPr>
        <w:t xml:space="preserve">       </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u w:val="single"/>
          <w:lang w:eastAsia="zh-CN"/>
        </w:rPr>
        <w:t>项目</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rPr>
        <w:t>招标书，投标人</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rPr>
        <w:t>（投标人名称）提供相关文件并做出以下承诺：</w:t>
      </w:r>
    </w:p>
    <w:p>
      <w:pPr>
        <w:numPr>
          <w:ilvl w:val="0"/>
          <w:numId w:val="19"/>
        </w:numPr>
        <w:autoSpaceDE w:val="0"/>
        <w:autoSpaceDN w:val="0"/>
        <w:adjustRightInd w:val="0"/>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招标文件规定的全部文件正本一份，副本二份，电子文档一份。</w:t>
      </w:r>
    </w:p>
    <w:p>
      <w:pPr>
        <w:numPr>
          <w:ilvl w:val="0"/>
          <w:numId w:val="19"/>
        </w:numPr>
        <w:autoSpaceDE w:val="0"/>
        <w:autoSpaceDN w:val="0"/>
        <w:adjustRightInd w:val="0"/>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投标人同意如下：</w:t>
      </w:r>
    </w:p>
    <w:p>
      <w:pPr>
        <w:numPr>
          <w:ilvl w:val="0"/>
          <w:numId w:val="20"/>
        </w:numPr>
        <w:adjustRightInd w:val="0"/>
        <w:ind w:left="567" w:leftChars="270" w:firstLine="273"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投标人完全接受招标文件中的内容，并将按招标文件的规定履行义务，按相关法律法规履行我方的全部责任。</w:t>
      </w:r>
    </w:p>
    <w:p>
      <w:pPr>
        <w:numPr>
          <w:ilvl w:val="0"/>
          <w:numId w:val="20"/>
        </w:numPr>
        <w:adjustRightInd w:val="0"/>
        <w:ind w:left="567" w:leftChars="270" w:firstLine="273"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投标人己详细审查全部招标文件，包括修改文件以及全部参考资料和有关附件，无其他不明事项。</w:t>
      </w:r>
    </w:p>
    <w:p>
      <w:pPr>
        <w:numPr>
          <w:ilvl w:val="0"/>
          <w:numId w:val="20"/>
        </w:numPr>
        <w:adjustRightInd w:val="0"/>
        <w:ind w:left="567" w:leftChars="270" w:firstLine="273"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投标人同意招标人要求的相关数据或资料，完全理解招标人在招标文件中确定的评标原则和程序，理解贵方不一定要接受最低报价的投标。</w:t>
      </w:r>
    </w:p>
    <w:p>
      <w:pPr>
        <w:numPr>
          <w:ilvl w:val="0"/>
          <w:numId w:val="20"/>
        </w:numPr>
        <w:adjustRightInd w:val="0"/>
        <w:ind w:left="567" w:leftChars="270" w:firstLine="273"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投标人承诺项目讲标人为本项目实施的项目经理，投标人应承诺项目实施过程中项目经理不做变更。如发生项目经理变更，招标人有权扣减项目中标金额的</w:t>
      </w:r>
      <w:r>
        <w:rPr>
          <w:rFonts w:hint="eastAsia" w:ascii="仿宋" w:hAnsi="仿宋" w:eastAsia="仿宋" w:cs="仿宋"/>
          <w:snapToGrid w:val="0"/>
          <w:color w:val="auto"/>
          <w:sz w:val="28"/>
          <w:szCs w:val="28"/>
          <w:highlight w:val="yellow"/>
          <w:u w:val="single"/>
        </w:rPr>
        <w:t>10</w:t>
      </w:r>
      <w:r>
        <w:rPr>
          <w:rFonts w:hint="eastAsia" w:ascii="仿宋" w:hAnsi="仿宋" w:eastAsia="仿宋" w:cs="仿宋"/>
          <w:snapToGrid w:val="0"/>
          <w:color w:val="auto"/>
          <w:sz w:val="28"/>
          <w:szCs w:val="28"/>
          <w:u w:val="single"/>
        </w:rPr>
        <w:t>%</w:t>
      </w:r>
      <w:r>
        <w:rPr>
          <w:rFonts w:hint="eastAsia" w:ascii="仿宋" w:hAnsi="仿宋" w:eastAsia="仿宋" w:cs="仿宋"/>
          <w:snapToGrid w:val="0"/>
          <w:color w:val="auto"/>
          <w:sz w:val="28"/>
          <w:szCs w:val="28"/>
        </w:rPr>
        <w:t>，</w:t>
      </w:r>
      <w:r>
        <w:rPr>
          <w:rFonts w:hint="eastAsia" w:ascii="仿宋" w:hAnsi="仿宋" w:eastAsia="仿宋" w:cs="仿宋"/>
          <w:color w:val="auto"/>
          <w:sz w:val="28"/>
          <w:szCs w:val="28"/>
        </w:rPr>
        <w:t>及有权解除中标通知书或项目合同。</w:t>
      </w:r>
    </w:p>
    <w:p>
      <w:pPr>
        <w:numPr>
          <w:ilvl w:val="0"/>
          <w:numId w:val="20"/>
        </w:numPr>
        <w:adjustRightInd w:val="0"/>
        <w:ind w:left="567" w:leftChars="270" w:firstLine="273"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投标人承诺按项目投标书中项目组人员配制进场实施项目，如人员匹配率低于</w:t>
      </w:r>
      <w:r>
        <w:rPr>
          <w:rFonts w:hint="eastAsia" w:ascii="仿宋" w:hAnsi="仿宋" w:eastAsia="仿宋" w:cs="仿宋"/>
          <w:snapToGrid w:val="0"/>
          <w:color w:val="auto"/>
          <w:sz w:val="28"/>
          <w:szCs w:val="28"/>
          <w:highlight w:val="yellow"/>
          <w:u w:val="single"/>
        </w:rPr>
        <w:t>90%</w:t>
      </w:r>
      <w:r>
        <w:rPr>
          <w:rFonts w:hint="eastAsia" w:ascii="仿宋" w:hAnsi="仿宋" w:eastAsia="仿宋" w:cs="仿宋"/>
          <w:snapToGrid w:val="0"/>
          <w:color w:val="auto"/>
          <w:sz w:val="28"/>
          <w:szCs w:val="28"/>
        </w:rPr>
        <w:t>，招标人有权扣减项目中标金额的</w:t>
      </w:r>
      <w:r>
        <w:rPr>
          <w:rFonts w:hint="eastAsia" w:ascii="仿宋" w:hAnsi="仿宋" w:eastAsia="仿宋" w:cs="仿宋"/>
          <w:snapToGrid w:val="0"/>
          <w:color w:val="auto"/>
          <w:sz w:val="28"/>
          <w:szCs w:val="28"/>
          <w:highlight w:val="yellow"/>
          <w:u w:val="single"/>
        </w:rPr>
        <w:t>10</w:t>
      </w:r>
      <w:r>
        <w:rPr>
          <w:rFonts w:hint="eastAsia" w:ascii="仿宋" w:hAnsi="仿宋" w:eastAsia="仿宋" w:cs="仿宋"/>
          <w:snapToGrid w:val="0"/>
          <w:color w:val="auto"/>
          <w:sz w:val="28"/>
          <w:szCs w:val="28"/>
          <w:u w:val="single"/>
        </w:rPr>
        <w:t>%</w:t>
      </w:r>
      <w:r>
        <w:rPr>
          <w:rFonts w:hint="eastAsia" w:ascii="仿宋" w:hAnsi="仿宋" w:eastAsia="仿宋" w:cs="仿宋"/>
          <w:snapToGrid w:val="0"/>
          <w:color w:val="auto"/>
          <w:sz w:val="28"/>
          <w:szCs w:val="28"/>
        </w:rPr>
        <w:t>，</w:t>
      </w:r>
      <w:r>
        <w:rPr>
          <w:rFonts w:hint="eastAsia" w:ascii="仿宋" w:hAnsi="仿宋" w:eastAsia="仿宋" w:cs="仿宋"/>
          <w:color w:val="auto"/>
          <w:sz w:val="28"/>
          <w:szCs w:val="28"/>
        </w:rPr>
        <w:t>及有权解除中标通知书或项目合同。</w:t>
      </w:r>
      <w:r>
        <w:rPr>
          <w:rFonts w:hint="eastAsia" w:ascii="仿宋" w:hAnsi="仿宋" w:eastAsia="仿宋" w:cs="仿宋"/>
          <w:snapToGrid w:val="0"/>
          <w:color w:val="auto"/>
          <w:sz w:val="28"/>
          <w:szCs w:val="28"/>
        </w:rPr>
        <w:t>（人员匹配率为：投标书匹配人员数量/投标书项目人员总数）</w:t>
      </w:r>
    </w:p>
    <w:p>
      <w:pPr>
        <w:numPr>
          <w:ilvl w:val="0"/>
          <w:numId w:val="20"/>
        </w:numPr>
        <w:adjustRightInd w:val="0"/>
        <w:ind w:left="567" w:leftChars="270" w:firstLine="273" w:firstLineChars="0"/>
        <w:rPr>
          <w:rFonts w:hint="eastAsia" w:ascii="仿宋" w:hAnsi="仿宋" w:eastAsia="仿宋" w:cs="仿宋"/>
          <w:b w:val="0"/>
          <w:bCs w:val="0"/>
          <w:snapToGrid w:val="0"/>
          <w:color w:val="auto"/>
          <w:sz w:val="28"/>
          <w:szCs w:val="28"/>
          <w:highlight w:val="none"/>
        </w:rPr>
      </w:pPr>
      <w:r>
        <w:rPr>
          <w:rFonts w:hint="eastAsia" w:ascii="仿宋" w:hAnsi="仿宋" w:eastAsia="仿宋" w:cs="仿宋"/>
          <w:b w:val="0"/>
          <w:bCs w:val="0"/>
          <w:snapToGrid w:val="0"/>
          <w:color w:val="auto"/>
          <w:sz w:val="28"/>
          <w:szCs w:val="28"/>
          <w:highlight w:val="none"/>
          <w:lang w:eastAsia="zh-CN"/>
        </w:rPr>
        <w:t>投标人</w:t>
      </w:r>
      <w:r>
        <w:rPr>
          <w:rFonts w:hint="eastAsia" w:ascii="仿宋" w:hAnsi="仿宋" w:eastAsia="仿宋" w:cs="仿宋"/>
          <w:b w:val="0"/>
          <w:bCs w:val="0"/>
          <w:snapToGrid w:val="0"/>
          <w:color w:val="auto"/>
          <w:sz w:val="28"/>
          <w:szCs w:val="28"/>
          <w:highlight w:val="none"/>
        </w:rPr>
        <w:t>承诺</w:t>
      </w:r>
      <w:r>
        <w:rPr>
          <w:rFonts w:hint="eastAsia" w:ascii="仿宋" w:hAnsi="仿宋" w:eastAsia="仿宋" w:cs="仿宋"/>
          <w:b w:val="0"/>
          <w:bCs w:val="0"/>
          <w:snapToGrid w:val="0"/>
          <w:color w:val="auto"/>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 w:hAnsi="仿宋" w:eastAsia="仿宋" w:cs="仿宋"/>
          <w:b w:val="0"/>
          <w:bCs w:val="0"/>
          <w:snapToGrid w:val="0"/>
          <w:color w:val="auto"/>
          <w:sz w:val="28"/>
          <w:szCs w:val="28"/>
          <w:highlight w:val="none"/>
          <w:lang w:val="en-US" w:eastAsia="zh-CN"/>
        </w:rPr>
        <w:t>(技术标准规范在项目进场实施时提供，概要内容见附件《</w:t>
      </w:r>
      <w:r>
        <w:rPr>
          <w:rFonts w:hint="eastAsia" w:ascii="仿宋" w:hAnsi="仿宋" w:eastAsia="仿宋" w:cs="仿宋"/>
          <w:b w:val="0"/>
          <w:bCs w:val="0"/>
          <w:color w:val="auto"/>
          <w:sz w:val="28"/>
          <w:szCs w:val="28"/>
          <w:highlight w:val="none"/>
          <w:lang w:val="en-US" w:eastAsia="zh-CN"/>
        </w:rPr>
        <w:t>科技系统技术标准概要事项</w:t>
      </w:r>
      <w:r>
        <w:rPr>
          <w:rFonts w:hint="eastAsia" w:ascii="仿宋" w:hAnsi="仿宋" w:eastAsia="仿宋" w:cs="仿宋"/>
          <w:b w:val="0"/>
          <w:bCs w:val="0"/>
          <w:snapToGrid w:val="0"/>
          <w:color w:val="auto"/>
          <w:sz w:val="28"/>
          <w:szCs w:val="28"/>
          <w:highlight w:val="none"/>
          <w:lang w:val="en-US" w:eastAsia="zh-CN"/>
        </w:rPr>
        <w:t>》)并对附件《</w:t>
      </w:r>
      <w:r>
        <w:rPr>
          <w:rFonts w:hint="eastAsia" w:ascii="仿宋" w:hAnsi="仿宋" w:eastAsia="仿宋" w:cs="仿宋"/>
          <w:b w:val="0"/>
          <w:bCs w:val="0"/>
          <w:color w:val="auto"/>
          <w:sz w:val="28"/>
          <w:szCs w:val="28"/>
          <w:highlight w:val="none"/>
          <w:lang w:val="en-US" w:eastAsia="zh-CN"/>
        </w:rPr>
        <w:t>科技系统技术标准概要事项</w:t>
      </w:r>
      <w:r>
        <w:rPr>
          <w:rFonts w:hint="eastAsia" w:ascii="仿宋" w:hAnsi="仿宋" w:eastAsia="仿宋" w:cs="仿宋"/>
          <w:b w:val="0"/>
          <w:bCs w:val="0"/>
          <w:snapToGrid w:val="0"/>
          <w:color w:val="auto"/>
          <w:sz w:val="28"/>
          <w:szCs w:val="28"/>
          <w:highlight w:val="none"/>
          <w:lang w:val="en-US" w:eastAsia="zh-CN"/>
        </w:rPr>
        <w:t>》进行盖章确认。</w:t>
      </w:r>
    </w:p>
    <w:p>
      <w:pPr>
        <w:numPr>
          <w:ilvl w:val="0"/>
          <w:numId w:val="19"/>
        </w:numPr>
        <w:autoSpaceDE w:val="0"/>
        <w:autoSpaceDN w:val="0"/>
        <w:adjustRightInd w:val="0"/>
        <w:ind w:firstLine="624"/>
        <w:jc w:val="left"/>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 w:hAnsi="仿宋" w:eastAsia="仿宋" w:cs="仿宋"/>
          <w:color w:val="auto"/>
          <w:sz w:val="28"/>
        </w:rPr>
      </w:pPr>
      <w:r>
        <w:rPr>
          <w:rFonts w:hint="eastAsia" w:ascii="仿宋" w:hAnsi="仿宋" w:eastAsia="仿宋" w:cs="仿宋"/>
          <w:color w:val="auto"/>
          <w:sz w:val="28"/>
          <w:lang w:val="en-US" w:eastAsia="zh-CN"/>
        </w:rPr>
        <w:t>四、</w:t>
      </w:r>
      <w:r>
        <w:rPr>
          <w:rFonts w:hint="eastAsia" w:ascii="仿宋" w:hAnsi="仿宋" w:eastAsia="仿宋" w:cs="仿宋"/>
          <w:snapToGrid w:val="0"/>
          <w:color w:val="auto"/>
          <w:sz w:val="28"/>
          <w:szCs w:val="28"/>
        </w:rPr>
        <w:t>投标方</w:t>
      </w:r>
      <w:r>
        <w:rPr>
          <w:rFonts w:hint="eastAsia" w:ascii="仿宋" w:hAnsi="仿宋" w:eastAsia="仿宋" w:cs="仿宋"/>
          <w:color w:val="auto"/>
          <w:sz w:val="28"/>
        </w:rPr>
        <w:t>愿意按招标文件的规定交纳</w:t>
      </w:r>
      <w:r>
        <w:rPr>
          <w:rFonts w:hint="eastAsia" w:ascii="仿宋" w:hAnsi="仿宋" w:eastAsia="仿宋" w:cs="仿宋"/>
          <w:color w:val="auto"/>
          <w:sz w:val="28"/>
          <w:u w:val="none"/>
        </w:rPr>
        <w:t>人民币</w:t>
      </w:r>
      <w:r>
        <w:rPr>
          <w:rFonts w:hint="eastAsia" w:ascii="仿宋" w:hAnsi="仿宋" w:eastAsia="仿宋" w:cs="仿宋"/>
          <w:color w:val="auto"/>
          <w:sz w:val="28"/>
          <w:u w:val="none"/>
          <w:lang w:val="en-US" w:eastAsia="zh-CN"/>
        </w:rPr>
        <w:t xml:space="preserve">(大写)   </w:t>
      </w:r>
      <w:r>
        <w:rPr>
          <w:rFonts w:hint="eastAsia" w:ascii="仿宋" w:hAnsi="仿宋" w:eastAsia="仿宋" w:cs="仿宋"/>
          <w:color w:val="auto"/>
          <w:sz w:val="28"/>
          <w:highlight w:val="none"/>
          <w:u w:val="none"/>
          <w:lang w:val="en-US" w:eastAsia="zh-CN"/>
        </w:rPr>
        <w:t xml:space="preserve">     </w:t>
      </w:r>
      <w:r>
        <w:rPr>
          <w:rFonts w:hint="eastAsia" w:ascii="仿宋" w:hAnsi="仿宋" w:eastAsia="仿宋" w:cs="仿宋"/>
          <w:color w:val="auto"/>
          <w:sz w:val="28"/>
          <w:highlight w:val="none"/>
          <w:u w:val="single"/>
          <w:lang w:val="en-US" w:eastAsia="zh-CN"/>
        </w:rPr>
        <w:t>元整</w:t>
      </w:r>
      <w:r>
        <w:rPr>
          <w:rFonts w:hint="eastAsia" w:ascii="仿宋" w:hAnsi="仿宋" w:eastAsia="仿宋" w:cs="仿宋"/>
          <w:color w:val="auto"/>
          <w:sz w:val="28"/>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 w:hAnsi="仿宋" w:eastAsia="仿宋" w:cs="仿宋"/>
          <w:color w:val="auto"/>
          <w:sz w:val="28"/>
        </w:rPr>
      </w:pPr>
      <w:r>
        <w:rPr>
          <w:rFonts w:hint="eastAsia" w:ascii="仿宋" w:hAnsi="仿宋" w:eastAsia="仿宋" w:cs="仿宋"/>
          <w:color w:val="auto"/>
          <w:sz w:val="28"/>
          <w:lang w:val="en-US" w:eastAsia="zh-CN"/>
        </w:rPr>
        <w:t>五、</w:t>
      </w:r>
      <w:r>
        <w:rPr>
          <w:rFonts w:hint="eastAsia" w:ascii="仿宋" w:hAnsi="仿宋" w:eastAsia="仿宋" w:cs="仿宋"/>
          <w:color w:val="auto"/>
          <w:sz w:val="28"/>
        </w:rPr>
        <w:t>如果我方被确定为中标人，我方愿意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 w:hAnsi="仿宋" w:eastAsia="仿宋" w:cs="仿宋"/>
          <w:snapToGrid w:val="0"/>
          <w:color w:val="auto"/>
          <w:sz w:val="28"/>
          <w:szCs w:val="28"/>
        </w:rPr>
      </w:pPr>
    </w:p>
    <w:p>
      <w:pPr>
        <w:adjustRightInd w:val="0"/>
        <w:ind w:firstLine="624"/>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与本投标有关的一切正式信函使用以下地址：</w:t>
      </w:r>
    </w:p>
    <w:p>
      <w:pPr>
        <w:pStyle w:val="21"/>
        <w:adjustRightInd w:val="0"/>
        <w:ind w:firstLine="624"/>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地址：</w:t>
      </w:r>
      <w:r>
        <w:rPr>
          <w:rFonts w:hint="eastAsia" w:ascii="仿宋" w:hAnsi="仿宋" w:eastAsia="仿宋" w:cs="仿宋"/>
          <w:snapToGrid w:val="0"/>
          <w:color w:val="auto"/>
          <w:sz w:val="28"/>
          <w:szCs w:val="28"/>
          <w:highlight w:val="none"/>
          <w:u w:val="single"/>
        </w:rPr>
        <w:t xml:space="preserve">                           </w:t>
      </w:r>
    </w:p>
    <w:p>
      <w:pPr>
        <w:pStyle w:val="21"/>
        <w:adjustRightInd w:val="0"/>
        <w:ind w:firstLine="624"/>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邮编：</w:t>
      </w:r>
      <w:r>
        <w:rPr>
          <w:rFonts w:hint="eastAsia" w:ascii="仿宋" w:hAnsi="仿宋" w:eastAsia="仿宋" w:cs="仿宋"/>
          <w:snapToGrid w:val="0"/>
          <w:color w:val="auto"/>
          <w:sz w:val="28"/>
          <w:szCs w:val="28"/>
          <w:highlight w:val="none"/>
          <w:u w:val="single"/>
        </w:rPr>
        <w:t xml:space="preserve">                           </w:t>
      </w:r>
    </w:p>
    <w:p>
      <w:pPr>
        <w:pStyle w:val="21"/>
        <w:adjustRightInd w:val="0"/>
        <w:ind w:firstLine="624"/>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电话：</w:t>
      </w:r>
      <w:r>
        <w:rPr>
          <w:rFonts w:hint="eastAsia" w:ascii="仿宋" w:hAnsi="仿宋" w:eastAsia="仿宋" w:cs="仿宋"/>
          <w:snapToGrid w:val="0"/>
          <w:color w:val="auto"/>
          <w:sz w:val="28"/>
          <w:szCs w:val="28"/>
          <w:highlight w:val="none"/>
          <w:u w:val="single"/>
        </w:rPr>
        <w:t xml:space="preserve">                           </w:t>
      </w:r>
    </w:p>
    <w:p>
      <w:pPr>
        <w:pStyle w:val="21"/>
        <w:adjustRightInd w:val="0"/>
        <w:ind w:firstLine="624"/>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传真：</w:t>
      </w:r>
      <w:r>
        <w:rPr>
          <w:rFonts w:hint="eastAsia" w:ascii="仿宋" w:hAnsi="仿宋" w:eastAsia="仿宋" w:cs="仿宋"/>
          <w:snapToGrid w:val="0"/>
          <w:color w:val="auto"/>
          <w:sz w:val="28"/>
          <w:szCs w:val="28"/>
          <w:highlight w:val="none"/>
          <w:u w:val="single"/>
        </w:rPr>
        <w:t xml:space="preserve">                           </w:t>
      </w:r>
    </w:p>
    <w:p>
      <w:pPr>
        <w:pStyle w:val="21"/>
        <w:adjustRightInd w:val="0"/>
        <w:ind w:firstLine="624"/>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投标人法定代表人姓名、职务（印刷体）：</w:t>
      </w:r>
      <w:r>
        <w:rPr>
          <w:rFonts w:hint="eastAsia" w:ascii="仿宋" w:hAnsi="仿宋" w:eastAsia="仿宋" w:cs="仿宋"/>
          <w:snapToGrid w:val="0"/>
          <w:color w:val="auto"/>
          <w:sz w:val="28"/>
          <w:szCs w:val="28"/>
          <w:highlight w:val="none"/>
          <w:u w:val="single"/>
        </w:rPr>
        <w:t xml:space="preserve">             </w:t>
      </w:r>
    </w:p>
    <w:p>
      <w:pPr>
        <w:pStyle w:val="21"/>
        <w:adjustRightInd w:val="0"/>
        <w:ind w:firstLine="624"/>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投标人名称：</w:t>
      </w:r>
      <w:r>
        <w:rPr>
          <w:rFonts w:hint="eastAsia" w:ascii="仿宋" w:hAnsi="仿宋" w:eastAsia="仿宋" w:cs="仿宋"/>
          <w:snapToGrid w:val="0"/>
          <w:color w:val="auto"/>
          <w:sz w:val="28"/>
          <w:szCs w:val="28"/>
          <w:highlight w:val="none"/>
          <w:u w:val="single"/>
        </w:rPr>
        <w:t xml:space="preserve">                       </w:t>
      </w:r>
    </w:p>
    <w:p>
      <w:pPr>
        <w:pStyle w:val="21"/>
        <w:adjustRightInd w:val="0"/>
        <w:ind w:firstLine="624"/>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单位公章：</w:t>
      </w:r>
      <w:r>
        <w:rPr>
          <w:rFonts w:hint="eastAsia" w:ascii="仿宋" w:hAnsi="仿宋" w:eastAsia="仿宋" w:cs="仿宋"/>
          <w:snapToGrid w:val="0"/>
          <w:color w:val="auto"/>
          <w:sz w:val="28"/>
          <w:szCs w:val="28"/>
          <w:highlight w:val="none"/>
          <w:u w:val="single"/>
        </w:rPr>
        <w:t xml:space="preserve">                       </w:t>
      </w:r>
    </w:p>
    <w:p>
      <w:pPr>
        <w:pStyle w:val="21"/>
        <w:adjustRightInd w:val="0"/>
        <w:ind w:firstLine="624"/>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法定代表人或授权代理人签字：</w:t>
      </w:r>
      <w:r>
        <w:rPr>
          <w:rFonts w:hint="eastAsia" w:ascii="仿宋" w:hAnsi="仿宋" w:eastAsia="仿宋" w:cs="仿宋"/>
          <w:snapToGrid w:val="0"/>
          <w:color w:val="auto"/>
          <w:sz w:val="28"/>
          <w:szCs w:val="28"/>
          <w:highlight w:val="none"/>
          <w:u w:val="single"/>
        </w:rPr>
        <w:t xml:space="preserve">                    </w:t>
      </w:r>
    </w:p>
    <w:p>
      <w:pPr>
        <w:autoSpaceDE w:val="0"/>
        <w:autoSpaceDN w:val="0"/>
        <w:adjustRightInd w:val="0"/>
        <w:ind w:firstLine="624"/>
        <w:jc w:val="left"/>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日期：</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rPr>
        <w:t>年</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rPr>
        <w:t>月</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rPr>
        <w:t>日</w:t>
      </w:r>
    </w:p>
    <w:p>
      <w:pPr>
        <w:pStyle w:val="5"/>
        <w:spacing w:after="0" w:line="240" w:lineRule="auto"/>
        <w:jc w:val="left"/>
        <w:rPr>
          <w:rFonts w:hint="eastAsia" w:ascii="仿宋" w:hAnsi="仿宋" w:eastAsia="仿宋" w:cs="仿宋"/>
          <w:b w:val="0"/>
          <w:snapToGrid w:val="0"/>
          <w:color w:val="auto"/>
          <w:sz w:val="28"/>
          <w:szCs w:val="28"/>
        </w:rPr>
      </w:pPr>
      <w:r>
        <w:rPr>
          <w:rFonts w:hint="eastAsia" w:ascii="仿宋" w:hAnsi="仿宋" w:eastAsia="仿宋" w:cs="仿宋"/>
          <w:b w:val="0"/>
          <w:snapToGrid w:val="0"/>
          <w:color w:val="auto"/>
          <w:sz w:val="28"/>
          <w:szCs w:val="28"/>
        </w:rPr>
        <w:br w:type="page"/>
      </w:r>
      <w:r>
        <w:rPr>
          <w:rFonts w:hint="eastAsia" w:ascii="仿宋" w:hAnsi="仿宋" w:eastAsia="仿宋" w:cs="仿宋"/>
          <w:b w:val="0"/>
          <w:snapToGrid w:val="0"/>
          <w:color w:val="auto"/>
          <w:sz w:val="28"/>
          <w:szCs w:val="28"/>
        </w:rPr>
        <w:t>附件2：法人代表授权委托书</w:t>
      </w:r>
    </w:p>
    <w:p>
      <w:pPr>
        <w:rPr>
          <w:rFonts w:hint="eastAsia" w:ascii="仿宋" w:hAnsi="仿宋" w:eastAsia="仿宋" w:cs="仿宋"/>
          <w:color w:val="auto"/>
        </w:rPr>
      </w:pPr>
    </w:p>
    <w:p>
      <w:pPr>
        <w:jc w:val="center"/>
        <w:rPr>
          <w:rFonts w:hint="eastAsia" w:ascii="仿宋" w:hAnsi="仿宋" w:eastAsia="仿宋" w:cs="仿宋"/>
          <w:color w:val="auto"/>
          <w:sz w:val="32"/>
          <w:szCs w:val="32"/>
        </w:rPr>
      </w:pPr>
      <w:r>
        <w:rPr>
          <w:rFonts w:hint="eastAsia" w:ascii="仿宋" w:hAnsi="仿宋" w:eastAsia="仿宋" w:cs="仿宋"/>
          <w:b/>
          <w:snapToGrid w:val="0"/>
          <w:color w:val="auto"/>
          <w:sz w:val="32"/>
          <w:szCs w:val="32"/>
        </w:rPr>
        <w:t>法人代表授权委托书</w:t>
      </w:r>
    </w:p>
    <w:p>
      <w:pPr>
        <w:autoSpaceDE w:val="0"/>
        <w:autoSpaceDN w:val="0"/>
        <w:adjustRightInd w:val="0"/>
        <w:spacing w:line="480" w:lineRule="auto"/>
        <w:ind w:right="-20"/>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highlight w:val="none"/>
        </w:rPr>
        <w:t>（投标人公司名称）（投标人公司注册地点）</w:t>
      </w:r>
      <w:r>
        <w:rPr>
          <w:rFonts w:hint="eastAsia" w:ascii="仿宋" w:hAnsi="仿宋" w:eastAsia="仿宋" w:cs="仿宋"/>
          <w:bCs/>
          <w:snapToGrid w:val="0"/>
          <w:color w:val="auto"/>
          <w:sz w:val="28"/>
          <w:szCs w:val="28"/>
        </w:rPr>
        <w:t>法定代表人</w:t>
      </w:r>
      <w:r>
        <w:rPr>
          <w:rFonts w:hint="eastAsia" w:ascii="仿宋" w:hAnsi="仿宋" w:eastAsia="仿宋" w:cs="仿宋"/>
          <w:bCs/>
          <w:snapToGrid w:val="0"/>
          <w:color w:val="auto"/>
          <w:sz w:val="28"/>
          <w:szCs w:val="28"/>
          <w:highlight w:val="none"/>
        </w:rPr>
        <w:t>（姓名）经合法授权，特代表本公司（以下称“投标人”）任命：（姓名）为正式的合法代理人，并授权该代理人在有关的投标工作中，</w:t>
      </w:r>
      <w:r>
        <w:rPr>
          <w:rFonts w:hint="eastAsia" w:ascii="仿宋" w:hAnsi="仿宋" w:eastAsia="仿宋" w:cs="仿宋"/>
          <w:bCs/>
          <w:snapToGrid w:val="0"/>
          <w:color w:val="auto"/>
          <w:sz w:val="28"/>
          <w:szCs w:val="28"/>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特签字如下，以资证明。</w:t>
      </w:r>
    </w:p>
    <w:p>
      <w:pPr>
        <w:autoSpaceDE w:val="0"/>
        <w:autoSpaceDN w:val="0"/>
        <w:adjustRightInd w:val="0"/>
        <w:spacing w:line="480" w:lineRule="auto"/>
        <w:jc w:val="left"/>
        <w:rPr>
          <w:rFonts w:hint="eastAsia" w:ascii="仿宋" w:hAnsi="仿宋" w:eastAsia="仿宋" w:cs="仿宋"/>
          <w:bCs/>
          <w:snapToGrid w:val="0"/>
          <w:color w:val="auto"/>
          <w:sz w:val="28"/>
          <w:szCs w:val="28"/>
        </w:rPr>
      </w:pPr>
    </w:p>
    <w:p>
      <w:pPr>
        <w:autoSpaceDE w:val="0"/>
        <w:autoSpaceDN w:val="0"/>
        <w:adjustRightInd w:val="0"/>
        <w:spacing w:line="480" w:lineRule="auto"/>
        <w:jc w:val="left"/>
        <w:rPr>
          <w:rFonts w:hint="eastAsia" w:ascii="仿宋" w:hAnsi="仿宋" w:eastAsia="仿宋" w:cs="仿宋"/>
          <w:bCs/>
          <w:snapToGrid w:val="0"/>
          <w:color w:val="auto"/>
          <w:sz w:val="28"/>
          <w:szCs w:val="28"/>
        </w:rPr>
      </w:pPr>
    </w:p>
    <w:p>
      <w:pPr>
        <w:autoSpaceDE w:val="0"/>
        <w:autoSpaceDN w:val="0"/>
        <w:adjustRightInd w:val="0"/>
        <w:spacing w:line="480" w:lineRule="auto"/>
        <w:ind w:left="600" w:right="-20"/>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color w:val="auto"/>
          <w:sz w:val="28"/>
          <w:szCs w:val="28"/>
        </w:rPr>
      </w:pPr>
    </w:p>
    <w:p>
      <w:pPr>
        <w:autoSpaceDE w:val="0"/>
        <w:autoSpaceDN w:val="0"/>
        <w:adjustRightInd w:val="0"/>
        <w:spacing w:line="480" w:lineRule="auto"/>
        <w:ind w:right="-20"/>
        <w:jc w:val="left"/>
        <w:rPr>
          <w:rFonts w:hint="eastAsia" w:ascii="仿宋" w:hAnsi="仿宋" w:eastAsia="仿宋" w:cs="仿宋"/>
          <w:bCs/>
          <w:snapToGrid w:val="0"/>
          <w:color w:val="auto"/>
          <w:sz w:val="28"/>
          <w:szCs w:val="28"/>
        </w:rPr>
      </w:pPr>
    </w:p>
    <w:p>
      <w:pPr>
        <w:autoSpaceDE w:val="0"/>
        <w:autoSpaceDN w:val="0"/>
        <w:adjustRightInd w:val="0"/>
        <w:spacing w:line="480" w:lineRule="auto"/>
        <w:ind w:left="600" w:right="-20"/>
        <w:jc w:val="left"/>
        <w:rPr>
          <w:rFonts w:hint="eastAsia" w:ascii="仿宋" w:hAnsi="仿宋" w:eastAsia="仿宋" w:cs="仿宋"/>
          <w:bCs/>
          <w:snapToGrid w:val="0"/>
          <w:color w:val="auto"/>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color w:val="auto"/>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color w:val="auto"/>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ab/>
      </w:r>
      <w:r>
        <w:rPr>
          <w:rFonts w:hint="eastAsia" w:ascii="仿宋" w:hAnsi="仿宋" w:eastAsia="仿宋" w:cs="仿宋"/>
          <w:bCs/>
          <w:snapToGrid w:val="0"/>
          <w:color w:val="auto"/>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日期：</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年</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月</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日</w:t>
      </w:r>
      <w:r>
        <w:rPr>
          <w:rFonts w:hint="eastAsia" w:ascii="仿宋" w:hAnsi="仿宋" w:eastAsia="仿宋" w:cs="仿宋"/>
          <w:bCs/>
          <w:snapToGrid w:val="0"/>
          <w:color w:val="auto"/>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 w:hAnsi="仿宋" w:eastAsia="仿宋" w:cs="仿宋"/>
          <w:b w:val="0"/>
          <w:snapToGrid w:val="0"/>
          <w:color w:val="auto"/>
          <w:sz w:val="28"/>
          <w:szCs w:val="28"/>
        </w:rPr>
      </w:pPr>
      <w:r>
        <w:rPr>
          <w:rFonts w:hint="eastAsia" w:ascii="仿宋" w:hAnsi="仿宋" w:eastAsia="仿宋" w:cs="仿宋"/>
          <w:color w:val="auto"/>
          <w:spacing w:val="2"/>
          <w:kern w:val="0"/>
          <w:position w:val="-1"/>
          <w:sz w:val="28"/>
          <w:szCs w:val="28"/>
          <w:lang w:val="zh-CN"/>
        </w:rPr>
        <w:br w:type="page"/>
      </w:r>
      <w:r>
        <w:rPr>
          <w:rFonts w:hint="eastAsia" w:ascii="仿宋" w:hAnsi="仿宋" w:eastAsia="仿宋" w:cs="仿宋"/>
          <w:b w:val="0"/>
          <w:snapToGrid w:val="0"/>
          <w:color w:val="auto"/>
          <w:sz w:val="28"/>
          <w:szCs w:val="28"/>
        </w:rPr>
        <w:t>附件</w:t>
      </w:r>
      <w:r>
        <w:rPr>
          <w:rFonts w:hint="eastAsia" w:ascii="仿宋" w:hAnsi="仿宋" w:eastAsia="仿宋" w:cs="仿宋"/>
          <w:b w:val="0"/>
          <w:snapToGrid w:val="0"/>
          <w:color w:val="auto"/>
          <w:sz w:val="28"/>
          <w:szCs w:val="28"/>
          <w:lang w:eastAsia="zh-CN"/>
        </w:rPr>
        <w:t>３</w:t>
      </w:r>
      <w:r>
        <w:rPr>
          <w:rFonts w:hint="eastAsia" w:ascii="仿宋" w:hAnsi="仿宋" w:eastAsia="仿宋" w:cs="仿宋"/>
          <w:b w:val="0"/>
          <w:snapToGrid w:val="0"/>
          <w:color w:val="auto"/>
          <w:sz w:val="28"/>
          <w:szCs w:val="28"/>
          <w:lang w:val="en-US" w:eastAsia="zh-CN"/>
        </w:rPr>
        <w:t>：</w:t>
      </w:r>
      <w:r>
        <w:rPr>
          <w:rFonts w:hint="eastAsia" w:ascii="仿宋" w:hAnsi="仿宋" w:eastAsia="仿宋" w:cs="仿宋"/>
          <w:b w:val="0"/>
          <w:bCs/>
          <w:snapToGrid w:val="0"/>
          <w:color w:val="auto"/>
          <w:kern w:val="2"/>
          <w:sz w:val="28"/>
          <w:szCs w:val="28"/>
          <w:lang w:val="en-US" w:eastAsia="zh-CN" w:bidi="ar-SA"/>
        </w:rPr>
        <w:t>投标价格一览表【单独密封】</w:t>
      </w:r>
    </w:p>
    <w:p>
      <w:pPr>
        <w:jc w:val="center"/>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投标价格</w:t>
      </w:r>
      <w:r>
        <w:rPr>
          <w:rFonts w:hint="eastAsia" w:ascii="仿宋" w:hAnsi="仿宋" w:eastAsia="仿宋" w:cs="仿宋"/>
          <w:b w:val="0"/>
          <w:bCs/>
          <w:snapToGrid w:val="0"/>
          <w:color w:val="auto"/>
          <w:kern w:val="2"/>
          <w:sz w:val="28"/>
          <w:szCs w:val="28"/>
          <w:lang w:val="en-US" w:eastAsia="zh-CN" w:bidi="ar-SA"/>
        </w:rPr>
        <w:t>一览·表</w:t>
      </w:r>
      <w:r>
        <w:rPr>
          <w:rFonts w:hint="eastAsia" w:ascii="仿宋" w:hAnsi="仿宋" w:eastAsia="仿宋" w:cs="仿宋"/>
          <w:bCs/>
          <w:snapToGrid w:val="0"/>
          <w:color w:val="auto"/>
          <w:sz w:val="28"/>
          <w:szCs w:val="28"/>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项目总报价</w:t>
      </w:r>
      <w:r>
        <w:rPr>
          <w:rFonts w:hint="eastAsia" w:ascii="仿宋" w:hAnsi="仿宋" w:eastAsia="仿宋" w:cs="仿宋"/>
          <w:bCs/>
          <w:snapToGrid w:val="0"/>
          <w:color w:val="auto"/>
          <w:sz w:val="28"/>
          <w:szCs w:val="28"/>
          <w:lang w:eastAsia="zh-CN"/>
        </w:rPr>
        <w:t>（人民币）</w:t>
      </w:r>
      <w:r>
        <w:rPr>
          <w:rFonts w:hint="eastAsia" w:ascii="仿宋" w:hAnsi="仿宋" w:eastAsia="仿宋" w:cs="仿宋"/>
          <w:bCs/>
          <w:snapToGrid w:val="0"/>
          <w:color w:val="auto"/>
          <w:sz w:val="28"/>
          <w:szCs w:val="28"/>
        </w:rPr>
        <w:t>：</w:t>
      </w:r>
      <w:r>
        <w:rPr>
          <w:rFonts w:hint="eastAsia" w:ascii="仿宋" w:hAnsi="仿宋" w:eastAsia="仿宋" w:cs="仿宋"/>
          <w:bCs/>
          <w:snapToGrid w:val="0"/>
          <w:color w:val="auto"/>
          <w:sz w:val="28"/>
          <w:szCs w:val="28"/>
          <w:u w:val="single"/>
        </w:rPr>
        <w:t xml:space="preserve">               </w:t>
      </w:r>
      <w:r>
        <w:rPr>
          <w:rFonts w:hint="eastAsia" w:ascii="仿宋" w:hAnsi="仿宋" w:eastAsia="仿宋" w:cs="仿宋"/>
          <w:bCs/>
          <w:snapToGrid w:val="0"/>
          <w:color w:val="auto"/>
          <w:sz w:val="28"/>
          <w:szCs w:val="28"/>
          <w:u w:val="single"/>
          <w:lang w:val="en-US" w:eastAsia="zh-CN"/>
        </w:rPr>
        <w:t xml:space="preserve"> </w:t>
      </w:r>
      <w:r>
        <w:rPr>
          <w:rFonts w:hint="eastAsia" w:ascii="仿宋" w:hAnsi="仿宋" w:eastAsia="仿宋" w:cs="仿宋"/>
          <w:bCs/>
          <w:snapToGrid w:val="0"/>
          <w:color w:val="auto"/>
          <w:sz w:val="28"/>
          <w:szCs w:val="28"/>
          <w:lang w:eastAsia="zh-CN"/>
        </w:rPr>
        <w:t>元</w:t>
      </w:r>
      <w:r>
        <w:rPr>
          <w:rFonts w:hint="eastAsia" w:ascii="仿宋" w:hAnsi="仿宋" w:eastAsia="仿宋" w:cs="仿宋"/>
          <w:bCs/>
          <w:snapToGrid w:val="0"/>
          <w:color w:val="auto"/>
          <w:sz w:val="28"/>
          <w:szCs w:val="28"/>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auto"/>
          <w:sz w:val="28"/>
          <w:szCs w:val="28"/>
        </w:rPr>
      </w:pPr>
      <w:r>
        <w:rPr>
          <w:rFonts w:hint="eastAsia" w:ascii="仿宋" w:hAnsi="仿宋" w:eastAsia="仿宋" w:cs="仿宋"/>
          <w:bCs/>
          <w:snapToGrid w:val="0"/>
          <w:color w:val="auto"/>
          <w:sz w:val="28"/>
          <w:szCs w:val="28"/>
        </w:rPr>
        <w:t>项目计划进场时间：</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年</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月</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auto"/>
          <w:sz w:val="28"/>
          <w:szCs w:val="28"/>
        </w:rPr>
      </w:pPr>
      <w:r>
        <w:rPr>
          <w:rFonts w:hint="eastAsia" w:ascii="仿宋" w:hAnsi="仿宋" w:eastAsia="仿宋" w:cs="仿宋"/>
          <w:bCs/>
          <w:snapToGrid w:val="0"/>
          <w:color w:val="auto"/>
          <w:sz w:val="28"/>
          <w:szCs w:val="28"/>
        </w:rPr>
        <w:t>预计项目上线时间：</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年</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月</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项目计划总工期：</w:t>
      </w:r>
      <w:r>
        <w:rPr>
          <w:rFonts w:hint="eastAsia" w:ascii="仿宋" w:hAnsi="仿宋" w:eastAsia="仿宋" w:cs="仿宋"/>
          <w:bCs/>
          <w:snapToGrid w:val="0"/>
          <w:color w:val="auto"/>
          <w:sz w:val="28"/>
          <w:szCs w:val="28"/>
          <w:u w:val="single"/>
        </w:rPr>
        <w:t xml:space="preserve">           </w:t>
      </w:r>
      <w:r>
        <w:rPr>
          <w:rFonts w:hint="eastAsia" w:ascii="仿宋" w:hAnsi="仿宋" w:eastAsia="仿宋" w:cs="仿宋"/>
          <w:bCs/>
          <w:snapToGrid w:val="0"/>
          <w:color w:val="auto"/>
          <w:sz w:val="28"/>
          <w:szCs w:val="28"/>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人月单价:</w:t>
      </w:r>
      <w:r>
        <w:rPr>
          <w:rFonts w:hint="eastAsia" w:ascii="仿宋" w:hAnsi="仿宋" w:eastAsia="仿宋" w:cs="仿宋"/>
          <w:bCs/>
          <w:snapToGrid w:val="0"/>
          <w:color w:val="auto"/>
          <w:sz w:val="28"/>
          <w:szCs w:val="28"/>
          <w:u w:val="single"/>
          <w:lang w:val="en-US" w:eastAsia="zh-CN"/>
        </w:rPr>
        <w:t xml:space="preserve">            </w:t>
      </w:r>
      <w:r>
        <w:rPr>
          <w:rFonts w:hint="eastAsia" w:ascii="仿宋" w:hAnsi="仿宋" w:eastAsia="仿宋" w:cs="仿宋"/>
          <w:bCs/>
          <w:snapToGrid w:val="0"/>
          <w:color w:val="auto"/>
          <w:sz w:val="28"/>
          <w:szCs w:val="28"/>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color w:val="auto"/>
          <w:sz w:val="28"/>
          <w:szCs w:val="28"/>
          <w:lang w:eastAsia="zh-CN"/>
        </w:rPr>
      </w:pPr>
      <w:r>
        <w:rPr>
          <w:rFonts w:hint="eastAsia" w:ascii="仿宋" w:hAnsi="仿宋" w:eastAsia="仿宋" w:cs="仿宋"/>
          <w:bCs/>
          <w:snapToGrid w:val="0"/>
          <w:color w:val="auto"/>
          <w:sz w:val="28"/>
          <w:szCs w:val="28"/>
          <w:lang w:eastAsia="zh-CN"/>
        </w:rPr>
        <w:t>报价明细</w:t>
      </w:r>
      <w:r>
        <w:rPr>
          <w:rFonts w:hint="eastAsia" w:ascii="仿宋" w:hAnsi="仿宋" w:eastAsia="仿宋" w:cs="仿宋"/>
          <w:bCs/>
          <w:snapToGrid w:val="0"/>
          <w:color w:val="auto"/>
          <w:sz w:val="28"/>
          <w:szCs w:val="28"/>
          <w:highlight w:val="yellow"/>
          <w:lang w:eastAsia="zh-CN"/>
        </w:rPr>
        <w:t>【</w:t>
      </w:r>
      <w:r>
        <w:rPr>
          <w:rFonts w:hint="eastAsia" w:ascii="仿宋" w:hAnsi="仿宋" w:eastAsia="仿宋" w:cs="仿宋"/>
          <w:bCs/>
          <w:snapToGrid w:val="0"/>
          <w:color w:val="auto"/>
          <w:sz w:val="28"/>
          <w:szCs w:val="28"/>
          <w:highlight w:val="yellow"/>
          <w:lang w:val="en-US" w:eastAsia="zh-CN"/>
        </w:rPr>
        <w:t>按项目各阶段功能报价</w:t>
      </w:r>
      <w:r>
        <w:rPr>
          <w:rFonts w:hint="eastAsia" w:ascii="仿宋" w:hAnsi="仿宋" w:eastAsia="仿宋" w:cs="仿宋"/>
          <w:bCs/>
          <w:snapToGrid w:val="0"/>
          <w:color w:val="auto"/>
          <w:sz w:val="28"/>
          <w:szCs w:val="28"/>
          <w:highlight w:val="yellow"/>
          <w:lang w:eastAsia="zh-CN"/>
        </w:rPr>
        <w:t>】</w:t>
      </w:r>
      <w:r>
        <w:rPr>
          <w:rFonts w:hint="eastAsia" w:ascii="仿宋" w:hAnsi="仿宋" w:eastAsia="仿宋" w:cs="仿宋"/>
          <w:bCs/>
          <w:snapToGrid w:val="0"/>
          <w:color w:val="auto"/>
          <w:sz w:val="28"/>
          <w:szCs w:val="28"/>
          <w:lang w:eastAsia="zh-CN"/>
        </w:rPr>
        <w:t>：</w:t>
      </w:r>
    </w:p>
    <w:tbl>
      <w:tblPr>
        <w:tblStyle w:val="33"/>
        <w:tblW w:w="7971" w:type="dxa"/>
        <w:jc w:val="center"/>
        <w:tblInd w:w="-2832" w:type="dxa"/>
        <w:tblLayout w:type="fixed"/>
        <w:tblCellMar>
          <w:top w:w="0" w:type="dxa"/>
          <w:left w:w="108" w:type="dxa"/>
          <w:bottom w:w="0" w:type="dxa"/>
          <w:right w:w="108" w:type="dxa"/>
        </w:tblCellMar>
      </w:tblPr>
      <w:tblGrid>
        <w:gridCol w:w="1843"/>
        <w:gridCol w:w="3163"/>
        <w:gridCol w:w="2965"/>
      </w:tblGrid>
      <w:tr>
        <w:tblPrEx>
          <w:tblLayout w:type="fixed"/>
          <w:tblCellMar>
            <w:top w:w="0" w:type="dxa"/>
            <w:left w:w="108" w:type="dxa"/>
            <w:bottom w:w="0" w:type="dxa"/>
            <w:right w:w="108" w:type="dxa"/>
          </w:tblCellMar>
        </w:tblPrEx>
        <w:trPr>
          <w:trHeight w:val="435"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highlight w:val="yellow"/>
              </w:rPr>
            </w:pPr>
            <w:r>
              <w:rPr>
                <w:rFonts w:hint="eastAsia" w:ascii="仿宋" w:hAnsi="仿宋" w:eastAsia="仿宋" w:cs="仿宋"/>
                <w:b/>
                <w:bCs/>
                <w:color w:val="auto"/>
                <w:sz w:val="21"/>
                <w:szCs w:val="21"/>
              </w:rPr>
              <w:t>名称</w:t>
            </w:r>
          </w:p>
        </w:tc>
        <w:tc>
          <w:tcPr>
            <w:tcW w:w="3163"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功能模块名称</w:t>
            </w:r>
          </w:p>
        </w:tc>
        <w:tc>
          <w:tcPr>
            <w:tcW w:w="296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报价（单位 万元）</w:t>
            </w:r>
          </w:p>
        </w:tc>
      </w:tr>
      <w:tr>
        <w:tblPrEx>
          <w:tblLayout w:type="fixed"/>
          <w:tblCellMar>
            <w:top w:w="0" w:type="dxa"/>
            <w:left w:w="108" w:type="dxa"/>
            <w:bottom w:w="0" w:type="dxa"/>
            <w:right w:w="108" w:type="dxa"/>
          </w:tblCellMar>
        </w:tblPrEx>
        <w:trPr>
          <w:trHeight w:val="394" w:hRule="atLeast"/>
          <w:jc w:val="center"/>
        </w:trPr>
        <w:tc>
          <w:tcPr>
            <w:tcW w:w="184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r>
              <w:rPr>
                <w:rFonts w:hint="eastAsia" w:ascii="仿宋" w:hAnsi="仿宋" w:eastAsia="仿宋" w:cs="仿宋"/>
                <w:i/>
                <w:iCs/>
                <w:color w:val="auto"/>
                <w:sz w:val="20"/>
                <w:szCs w:val="20"/>
                <w:highlight w:val="none"/>
                <w:lang w:val="en-US" w:eastAsia="zh-CN"/>
              </w:rPr>
              <w:t>一阶段</w:t>
            </w:r>
          </w:p>
        </w:tc>
        <w:tc>
          <w:tcPr>
            <w:tcW w:w="3163"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公共模块</w:t>
            </w:r>
          </w:p>
        </w:tc>
        <w:tc>
          <w:tcPr>
            <w:tcW w:w="29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94" w:hRule="atLeast"/>
          <w:jc w:val="center"/>
        </w:trPr>
        <w:tc>
          <w:tcPr>
            <w:tcW w:w="184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i/>
                <w:iCs/>
                <w:color w:val="auto"/>
                <w:sz w:val="20"/>
                <w:szCs w:val="20"/>
                <w:highlight w:val="none"/>
                <w:lang w:val="en-US" w:eastAsia="zh-CN"/>
              </w:rPr>
            </w:pPr>
          </w:p>
        </w:tc>
        <w:tc>
          <w:tcPr>
            <w:tcW w:w="3163"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rPr>
            </w:pPr>
            <w:r>
              <w:rPr>
                <w:rFonts w:hint="eastAsia" w:ascii="仿宋" w:hAnsi="仿宋" w:eastAsia="仿宋" w:cs="仿宋"/>
                <w:color w:val="auto"/>
              </w:rPr>
              <w:t>理财代销系统</w:t>
            </w:r>
          </w:p>
        </w:tc>
        <w:tc>
          <w:tcPr>
            <w:tcW w:w="29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00" w:hRule="atLeast"/>
          <w:jc w:val="center"/>
        </w:trPr>
        <w:tc>
          <w:tcPr>
            <w:tcW w:w="184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31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rPr>
              <w:t>基金代销系统（含选基）</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55" w:hRule="atLeast"/>
          <w:jc w:val="center"/>
        </w:trPr>
        <w:tc>
          <w:tcPr>
            <w:tcW w:w="184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p>
        </w:tc>
        <w:tc>
          <w:tcPr>
            <w:tcW w:w="31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rPr>
              <w:t>保险代销系统</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jc w:val="center"/>
        </w:trPr>
        <w:tc>
          <w:tcPr>
            <w:tcW w:w="184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31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rPr>
              <w:t>贵金属代销系统</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jc w:val="center"/>
        </w:trPr>
        <w:tc>
          <w:tcPr>
            <w:tcW w:w="184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31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rPr>
              <w:t>结构性存款系统</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jc w:val="center"/>
        </w:trPr>
        <w:tc>
          <w:tcPr>
            <w:tcW w:w="184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31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rPr>
              <w:t>信托代销系统</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jc w:val="center"/>
        </w:trPr>
        <w:tc>
          <w:tcPr>
            <w:tcW w:w="184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二阶段</w:t>
            </w:r>
          </w:p>
        </w:tc>
        <w:tc>
          <w:tcPr>
            <w:tcW w:w="31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rPr>
              <w:t>理财分销系统</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jc w:val="center"/>
        </w:trPr>
        <w:tc>
          <w:tcPr>
            <w:tcW w:w="184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31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rPr>
              <w:t>公募投顾系统</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项目总报价</w:t>
            </w:r>
          </w:p>
        </w:tc>
        <w:tc>
          <w:tcPr>
            <w:tcW w:w="61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jc w:val="center"/>
          <w:ins w:id="0" w:author="n" w:date="2021-12-10T14:39:33Z"/>
        </w:trPr>
        <w:tc>
          <w:tcPr>
            <w:tcW w:w="7971"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备注：二阶段功能模块，招标人视情况决定是否开发。</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优惠/附加条款（按类型填写）：</w:t>
      </w:r>
    </w:p>
    <w:tbl>
      <w:tblPr>
        <w:tblStyle w:val="34"/>
        <w:tblW w:w="7963"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288"/>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类型</w:t>
            </w:r>
          </w:p>
        </w:tc>
        <w:tc>
          <w:tcPr>
            <w:tcW w:w="2288"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优惠条款</w:t>
            </w:r>
          </w:p>
        </w:tc>
        <w:tc>
          <w:tcPr>
            <w:tcW w:w="429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5"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i/>
                <w:iCs/>
                <w:color w:val="auto"/>
                <w:sz w:val="20"/>
                <w:szCs w:val="20"/>
                <w:highlight w:val="none"/>
                <w:lang w:eastAsia="zh-CN"/>
              </w:rPr>
              <w:t>咨询</w:t>
            </w:r>
            <w:r>
              <w:rPr>
                <w:rFonts w:hint="eastAsia" w:ascii="仿宋" w:hAnsi="仿宋" w:eastAsia="仿宋" w:cs="仿宋"/>
                <w:i/>
                <w:iCs/>
                <w:color w:val="auto"/>
                <w:sz w:val="20"/>
                <w:szCs w:val="20"/>
                <w:highlight w:val="none"/>
                <w:lang w:val="en-US" w:eastAsia="zh-CN"/>
              </w:rPr>
              <w:t>/培训/测试/运维/其他...</w:t>
            </w:r>
          </w:p>
        </w:tc>
        <w:tc>
          <w:tcPr>
            <w:tcW w:w="2288"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p>
        </w:tc>
        <w:tc>
          <w:tcPr>
            <w:tcW w:w="429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系统（含软、硬件等）应提供免费维护期为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yellow"/>
          <w:u w:val="single"/>
        </w:rPr>
        <w:t>1</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至少1年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维护期内提供（□驻场</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远程支持 </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）支持服务，</w:t>
      </w:r>
      <w:r>
        <w:rPr>
          <w:rFonts w:hint="eastAsia" w:ascii="仿宋" w:hAnsi="仿宋" w:eastAsia="仿宋" w:cs="仿宋"/>
          <w:color w:val="auto"/>
          <w:sz w:val="28"/>
          <w:szCs w:val="28"/>
          <w:highlight w:val="none"/>
        </w:rPr>
        <w:t>维护期满后，每年度系统维护服务费用不超过项目总报价的</w:t>
      </w:r>
      <w:r>
        <w:rPr>
          <w:rFonts w:hint="eastAsia" w:ascii="仿宋" w:hAnsi="仿宋" w:eastAsia="仿宋" w:cs="仿宋"/>
          <w:color w:val="auto"/>
          <w:sz w:val="28"/>
          <w:szCs w:val="28"/>
          <w:highlight w:val="none"/>
          <w:u w:val="single"/>
          <w:lang w:val="en-US"/>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不得高于10%</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软件类系统，系统上线</w:t>
      </w:r>
      <w:r>
        <w:rPr>
          <w:rFonts w:hint="eastAsia" w:ascii="仿宋" w:hAnsi="仿宋" w:eastAsia="仿宋" w:cs="仿宋"/>
          <w:color w:val="auto"/>
          <w:sz w:val="28"/>
          <w:szCs w:val="28"/>
          <w:highlight w:val="yellow"/>
          <w:u w:val="single"/>
        </w:rPr>
        <w:t>2</w:t>
      </w:r>
      <w:r>
        <w:rPr>
          <w:rFonts w:hint="eastAsia" w:ascii="仿宋" w:hAnsi="仿宋" w:eastAsia="仿宋" w:cs="仿宋"/>
          <w:color w:val="auto"/>
          <w:sz w:val="28"/>
          <w:szCs w:val="28"/>
          <w:highlight w:val="none"/>
        </w:rPr>
        <w:t>年内，</w:t>
      </w:r>
      <w:r>
        <w:rPr>
          <w:rFonts w:hint="eastAsia" w:ascii="仿宋" w:hAnsi="仿宋" w:eastAsia="仿宋" w:cs="仿宋"/>
          <w:color w:val="auto"/>
          <w:sz w:val="28"/>
          <w:szCs w:val="28"/>
          <w:highlight w:val="none"/>
          <w:lang w:eastAsia="zh-CN"/>
        </w:rPr>
        <w:t>由于功能新增</w:t>
      </w:r>
      <w:r>
        <w:rPr>
          <w:rFonts w:hint="eastAsia" w:ascii="仿宋" w:hAnsi="仿宋" w:eastAsia="仿宋" w:cs="仿宋"/>
          <w:color w:val="auto"/>
          <w:sz w:val="28"/>
          <w:szCs w:val="28"/>
          <w:highlight w:val="none"/>
        </w:rPr>
        <w:t>经双发协商同意需要计算工作量的，</w:t>
      </w:r>
      <w:r>
        <w:rPr>
          <w:rFonts w:hint="eastAsia" w:ascii="仿宋" w:hAnsi="仿宋" w:eastAsia="仿宋" w:cs="仿宋"/>
          <w:color w:val="auto"/>
          <w:sz w:val="28"/>
          <w:szCs w:val="28"/>
          <w:highlight w:val="none"/>
          <w:lang w:eastAsia="zh-CN"/>
        </w:rPr>
        <w:t>工作量</w:t>
      </w:r>
      <w:r>
        <w:rPr>
          <w:rFonts w:hint="eastAsia" w:ascii="仿宋" w:hAnsi="仿宋" w:eastAsia="仿宋" w:cs="仿宋"/>
          <w:color w:val="auto"/>
          <w:sz w:val="28"/>
          <w:szCs w:val="28"/>
          <w:highlight w:val="none"/>
        </w:rPr>
        <w:t>报价不超</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/人月</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投标人应在项目计划进场时间安排人员进场，未在期限内完成人员进场，每延迟一日，应向招标人支付相当于项目中标总金额万分之</w:t>
      </w:r>
      <w:r>
        <w:rPr>
          <w:rFonts w:hint="eastAsia" w:ascii="仿宋" w:hAnsi="仿宋" w:eastAsia="仿宋" w:cs="仿宋"/>
          <w:color w:val="auto"/>
          <w:sz w:val="28"/>
          <w:szCs w:val="28"/>
          <w:highlight w:val="yellow"/>
          <w:u w:val="single"/>
          <w:lang w:eastAsia="zh-CN"/>
        </w:rPr>
        <w:t>五</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超过30天的，招标人有权解除中标通知书或项目合同，投标人除支付相应的延迟违约金外，还应向招标人退还已收到的合同价款。</w:t>
      </w:r>
    </w:p>
    <w:p>
      <w:pPr>
        <w:autoSpaceDE w:val="0"/>
        <w:autoSpaceDN w:val="0"/>
        <w:adjustRightInd w:val="0"/>
        <w:spacing w:line="480" w:lineRule="auto"/>
        <w:ind w:right="-20"/>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投标人单位公章：</w:t>
      </w:r>
    </w:p>
    <w:p>
      <w:pPr>
        <w:autoSpaceDE w:val="0"/>
        <w:autoSpaceDN w:val="0"/>
        <w:adjustRightInd w:val="0"/>
        <w:spacing w:line="480" w:lineRule="auto"/>
        <w:ind w:right="-20"/>
        <w:jc w:val="left"/>
        <w:rPr>
          <w:rFonts w:hint="eastAsia" w:ascii="仿宋" w:hAnsi="仿宋" w:eastAsia="仿宋" w:cs="仿宋"/>
          <w:bCs/>
          <w:snapToGrid w:val="0"/>
          <w:color w:val="auto"/>
          <w:sz w:val="28"/>
          <w:szCs w:val="28"/>
        </w:rPr>
      </w:pPr>
    </w:p>
    <w:p>
      <w:pPr>
        <w:autoSpaceDE w:val="0"/>
        <w:autoSpaceDN w:val="0"/>
        <w:adjustRightInd w:val="0"/>
        <w:spacing w:line="480" w:lineRule="auto"/>
        <w:ind w:left="600" w:right="-20"/>
        <w:jc w:val="left"/>
        <w:rPr>
          <w:rFonts w:hint="eastAsia" w:ascii="仿宋" w:hAnsi="仿宋" w:eastAsia="仿宋" w:cs="仿宋"/>
          <w:bCs/>
          <w:snapToGrid w:val="0"/>
          <w:color w:val="auto"/>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color w:val="auto"/>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ab/>
      </w:r>
      <w:r>
        <w:rPr>
          <w:rFonts w:hint="eastAsia" w:ascii="仿宋" w:hAnsi="仿宋" w:eastAsia="仿宋" w:cs="仿宋"/>
          <w:bCs/>
          <w:snapToGrid w:val="0"/>
          <w:color w:val="auto"/>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日期：</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年</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月</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日</w:t>
      </w:r>
      <w:r>
        <w:rPr>
          <w:rFonts w:hint="eastAsia" w:ascii="仿宋" w:hAnsi="仿宋" w:eastAsia="仿宋" w:cs="仿宋"/>
          <w:bCs/>
          <w:snapToGrid w:val="0"/>
          <w:color w:val="auto"/>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 w:hAnsi="仿宋" w:eastAsia="仿宋" w:cs="仿宋"/>
          <w:b w:val="0"/>
          <w:snapToGrid w:val="0"/>
          <w:color w:val="auto"/>
          <w:sz w:val="28"/>
          <w:szCs w:val="28"/>
        </w:rPr>
      </w:pPr>
      <w:r>
        <w:rPr>
          <w:rFonts w:hint="eastAsia" w:ascii="仿宋" w:hAnsi="仿宋" w:eastAsia="仿宋" w:cs="仿宋"/>
          <w:color w:val="auto"/>
          <w:sz w:val="28"/>
          <w:szCs w:val="28"/>
        </w:rPr>
        <w:br w:type="page"/>
      </w:r>
      <w:r>
        <w:rPr>
          <w:rFonts w:hint="eastAsia" w:ascii="仿宋" w:hAnsi="仿宋" w:eastAsia="仿宋" w:cs="仿宋"/>
          <w:b w:val="0"/>
          <w:snapToGrid w:val="0"/>
          <w:color w:val="auto"/>
          <w:sz w:val="28"/>
          <w:szCs w:val="28"/>
        </w:rPr>
        <w:t>附件4：投标人情况简介</w:t>
      </w:r>
    </w:p>
    <w:p>
      <w:pPr>
        <w:jc w:val="center"/>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投标人情况简介</w:t>
      </w:r>
    </w:p>
    <w:p>
      <w:pPr>
        <w:pStyle w:val="21"/>
        <w:numPr>
          <w:ilvl w:val="0"/>
          <w:numId w:val="21"/>
        </w:numPr>
        <w:adjustRightInd w:val="0"/>
        <w:ind w:left="0" w:leftChars="0" w:firstLine="0"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名称和概况：</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投标人名称：</w:t>
      </w:r>
      <w:r>
        <w:rPr>
          <w:rFonts w:hint="eastAsia" w:ascii="仿宋" w:hAnsi="仿宋" w:eastAsia="仿宋" w:cs="仿宋"/>
          <w:snapToGrid w:val="0"/>
          <w:color w:val="auto"/>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地址：</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邮编：</w:t>
      </w:r>
      <w:r>
        <w:rPr>
          <w:rFonts w:hint="eastAsia" w:ascii="仿宋" w:hAnsi="仿宋" w:eastAsia="仿宋" w:cs="仿宋"/>
          <w:snapToGrid w:val="0"/>
          <w:color w:val="auto"/>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传真／电话：</w:t>
      </w:r>
      <w:r>
        <w:rPr>
          <w:rFonts w:hint="eastAsia" w:ascii="仿宋" w:hAnsi="仿宋" w:eastAsia="仿宋" w:cs="仿宋"/>
          <w:snapToGrid w:val="0"/>
          <w:color w:val="auto"/>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成立日期或注册日期：</w:t>
      </w:r>
      <w:r>
        <w:rPr>
          <w:rFonts w:hint="eastAsia" w:ascii="仿宋" w:hAnsi="仿宋" w:eastAsia="仿宋" w:cs="仿宋"/>
          <w:snapToGrid w:val="0"/>
          <w:color w:val="auto"/>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法定代表人或主要负责人姓名：</w:t>
      </w:r>
      <w:r>
        <w:rPr>
          <w:rFonts w:hint="eastAsia" w:ascii="仿宋" w:hAnsi="仿宋" w:eastAsia="仿宋" w:cs="仿宋"/>
          <w:snapToGrid w:val="0"/>
          <w:color w:val="auto"/>
          <w:sz w:val="28"/>
          <w:szCs w:val="28"/>
          <w:u w:val="single"/>
        </w:rPr>
        <w:t xml:space="preserve">                   </w:t>
      </w:r>
    </w:p>
    <w:p>
      <w:pPr>
        <w:pStyle w:val="21"/>
        <w:numPr>
          <w:ilvl w:val="0"/>
          <w:numId w:val="21"/>
        </w:numPr>
        <w:adjustRightInd w:val="0"/>
        <w:ind w:left="0" w:leftChars="0" w:firstLine="0"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财务数据：</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auto"/>
          <w:sz w:val="28"/>
          <w:szCs w:val="28"/>
          <w:u w:val="single"/>
        </w:rPr>
      </w:pPr>
      <w:r>
        <w:rPr>
          <w:rFonts w:hint="eastAsia" w:ascii="仿宋" w:hAnsi="仿宋" w:eastAsia="仿宋" w:cs="仿宋"/>
          <w:snapToGrid w:val="0"/>
          <w:color w:val="auto"/>
          <w:sz w:val="28"/>
          <w:szCs w:val="28"/>
        </w:rPr>
        <w:t>注册资本：</w:t>
      </w:r>
      <w:r>
        <w:rPr>
          <w:rFonts w:hint="eastAsia" w:ascii="仿宋" w:hAnsi="仿宋" w:eastAsia="仿宋" w:cs="仿宋"/>
          <w:snapToGrid w:val="0"/>
          <w:color w:val="auto"/>
          <w:sz w:val="28"/>
          <w:szCs w:val="28"/>
          <w:u w:val="single"/>
        </w:rPr>
        <w:t xml:space="preserve">                      </w:t>
      </w:r>
    </w:p>
    <w:p>
      <w:pPr>
        <w:pStyle w:val="21"/>
        <w:numPr>
          <w:ilvl w:val="0"/>
          <w:numId w:val="21"/>
        </w:numPr>
        <w:adjustRightInd w:val="0"/>
        <w:ind w:left="0" w:leftChars="0" w:firstLine="0" w:firstLineChars="0"/>
        <w:rPr>
          <w:rFonts w:hint="eastAsia" w:ascii="仿宋" w:hAnsi="仿宋" w:eastAsia="仿宋" w:cs="仿宋"/>
          <w:snapToGrid w:val="0"/>
          <w:color w:val="auto"/>
          <w:sz w:val="28"/>
          <w:szCs w:val="28"/>
        </w:rPr>
      </w:pPr>
      <w:r>
        <w:rPr>
          <w:rFonts w:hint="eastAsia" w:ascii="仿宋" w:hAnsi="仿宋" w:eastAsia="仿宋" w:cs="仿宋"/>
          <w:snapToGrid w:val="0"/>
          <w:color w:val="auto"/>
          <w:sz w:val="28"/>
          <w:szCs w:val="28"/>
        </w:rPr>
        <w:t>业绩或服务的情况：</w:t>
      </w:r>
    </w:p>
    <w:p>
      <w:pPr>
        <w:pStyle w:val="21"/>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 w:hAnsi="仿宋" w:eastAsia="仿宋" w:cs="仿宋"/>
          <w:snapToGrid w:val="0"/>
          <w:color w:val="auto"/>
          <w:sz w:val="24"/>
          <w:szCs w:val="24"/>
          <w:u w:val="single"/>
          <w:lang w:val="en-US" w:eastAsia="zh-CN"/>
        </w:rPr>
      </w:pPr>
      <w:r>
        <w:rPr>
          <w:rFonts w:hint="eastAsia" w:ascii="仿宋" w:hAnsi="仿宋" w:eastAsia="仿宋" w:cs="仿宋"/>
          <w:snapToGrid w:val="0"/>
          <w:color w:val="auto"/>
          <w:sz w:val="24"/>
          <w:szCs w:val="24"/>
          <w:lang w:eastAsia="zh-CN"/>
        </w:rPr>
        <w:t>成立</w:t>
      </w:r>
      <w:r>
        <w:rPr>
          <w:rFonts w:hint="eastAsia" w:ascii="仿宋" w:hAnsi="仿宋" w:eastAsia="仿宋" w:cs="仿宋"/>
          <w:snapToGrid w:val="0"/>
          <w:color w:val="auto"/>
          <w:sz w:val="24"/>
          <w:szCs w:val="24"/>
        </w:rPr>
        <w:t>至今国内外主要用户名称：</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仿宋" w:hAnsi="仿宋" w:eastAsia="仿宋" w:cs="仿宋"/>
          <w:snapToGrid w:val="0"/>
          <w:color w:val="auto"/>
          <w:sz w:val="24"/>
          <w:szCs w:val="24"/>
          <w:u w:val="single"/>
          <w:lang w:val="en-US" w:eastAsia="zh-CN"/>
        </w:rPr>
      </w:pPr>
    </w:p>
    <w:p>
      <w:pPr>
        <w:pStyle w:val="21"/>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其中，本次投标或服务在国内金融行业的应用情况（如有的话）：</w:t>
      </w:r>
    </w:p>
    <w:p>
      <w:pPr>
        <w:pStyle w:val="21"/>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auto"/>
          <w:sz w:val="28"/>
          <w:szCs w:val="28"/>
        </w:rPr>
      </w:pPr>
    </w:p>
    <w:p>
      <w:pPr>
        <w:pStyle w:val="21"/>
        <w:tabs>
          <w:tab w:val="left" w:pos="360"/>
        </w:tabs>
        <w:adjustRightInd w:val="0"/>
        <w:rPr>
          <w:rFonts w:hint="eastAsia" w:ascii="仿宋" w:hAnsi="仿宋" w:eastAsia="仿宋" w:cs="仿宋"/>
          <w:snapToGrid w:val="0"/>
          <w:color w:val="auto"/>
          <w:sz w:val="28"/>
          <w:szCs w:val="28"/>
        </w:rPr>
      </w:pPr>
    </w:p>
    <w:p>
      <w:pPr>
        <w:pStyle w:val="21"/>
        <w:numPr>
          <w:ilvl w:val="0"/>
          <w:numId w:val="21"/>
        </w:numPr>
        <w:adjustRightInd w:val="0"/>
        <w:ind w:left="0" w:leftChars="0" w:firstLine="0" w:firstLineChars="0"/>
        <w:rPr>
          <w:rFonts w:hint="eastAsia" w:ascii="仿宋" w:hAnsi="仿宋" w:eastAsia="仿宋" w:cs="仿宋"/>
          <w:snapToGrid w:val="0"/>
          <w:color w:val="auto"/>
          <w:sz w:val="28"/>
          <w:szCs w:val="28"/>
          <w:u w:val="single"/>
          <w:lang w:val="en-US" w:eastAsia="zh-CN"/>
        </w:rPr>
      </w:pPr>
      <w:r>
        <w:rPr>
          <w:rFonts w:hint="eastAsia" w:ascii="仿宋" w:hAnsi="仿宋" w:eastAsia="仿宋" w:cs="仿宋"/>
          <w:snapToGrid w:val="0"/>
          <w:color w:val="auto"/>
          <w:sz w:val="28"/>
          <w:szCs w:val="28"/>
        </w:rPr>
        <w:t xml:space="preserve">所属集团（如有的话）： </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u w:val="single"/>
          <w:lang w:val="en-US" w:eastAsia="zh-CN"/>
        </w:rPr>
        <w:t xml:space="preserve">         </w:t>
      </w:r>
    </w:p>
    <w:p>
      <w:pPr>
        <w:pStyle w:val="21"/>
        <w:numPr>
          <w:ilvl w:val="0"/>
          <w:numId w:val="21"/>
        </w:numPr>
        <w:adjustRightInd w:val="0"/>
        <w:ind w:left="0" w:leftChars="0" w:firstLine="0" w:firstLineChars="0"/>
        <w:rPr>
          <w:rFonts w:hint="eastAsia" w:ascii="仿宋" w:hAnsi="仿宋" w:eastAsia="仿宋" w:cs="仿宋"/>
          <w:snapToGrid w:val="0"/>
          <w:color w:val="auto"/>
          <w:kern w:val="2"/>
          <w:sz w:val="28"/>
          <w:szCs w:val="28"/>
          <w:lang w:val="en-US" w:eastAsia="zh-CN" w:bidi="ar-SA"/>
        </w:rPr>
      </w:pPr>
      <w:r>
        <w:rPr>
          <w:rFonts w:hint="eastAsia" w:ascii="仿宋" w:hAnsi="仿宋" w:eastAsia="仿宋" w:cs="仿宋"/>
          <w:snapToGrid w:val="0"/>
          <w:color w:val="auto"/>
          <w:sz w:val="28"/>
          <w:szCs w:val="28"/>
          <w:lang w:val="en-US" w:eastAsia="zh-CN"/>
        </w:rPr>
        <w:t xml:space="preserve">其它情况（组织、机构、技术力量、参与本产品的实施人员情况等）  </w:t>
      </w:r>
      <w:r>
        <w:rPr>
          <w:rFonts w:hint="eastAsia" w:ascii="仿宋" w:hAnsi="仿宋" w:eastAsia="仿宋" w:cs="仿宋"/>
          <w:snapToGrid w:val="0"/>
          <w:color w:val="auto"/>
          <w:kern w:val="2"/>
          <w:sz w:val="28"/>
          <w:szCs w:val="28"/>
          <w:lang w:val="en-US" w:eastAsia="zh-CN" w:bidi="ar-SA"/>
        </w:rPr>
        <w:t xml:space="preserve"> </w:t>
      </w:r>
    </w:p>
    <w:p>
      <w:pPr>
        <w:pStyle w:val="21"/>
        <w:numPr>
          <w:ilvl w:val="0"/>
          <w:numId w:val="0"/>
        </w:numPr>
        <w:adjustRightInd w:val="0"/>
        <w:ind w:leftChars="-166"/>
        <w:rPr>
          <w:rFonts w:hint="eastAsia" w:ascii="仿宋" w:hAnsi="仿宋" w:eastAsia="仿宋" w:cs="仿宋"/>
          <w:snapToGrid w:val="0"/>
          <w:color w:val="auto"/>
          <w:kern w:val="2"/>
          <w:sz w:val="28"/>
          <w:szCs w:val="28"/>
          <w:lang w:val="en-US" w:eastAsia="zh-CN" w:bidi="ar-SA"/>
        </w:rPr>
      </w:pPr>
    </w:p>
    <w:p>
      <w:pPr>
        <w:pStyle w:val="21"/>
        <w:widowControl w:val="0"/>
        <w:numPr>
          <w:ilvl w:val="0"/>
          <w:numId w:val="0"/>
        </w:numPr>
        <w:adjustRightInd w:val="0"/>
        <w:jc w:val="both"/>
        <w:rPr>
          <w:rFonts w:hint="eastAsia" w:ascii="仿宋" w:hAnsi="仿宋" w:eastAsia="仿宋" w:cs="仿宋"/>
          <w:snapToGrid w:val="0"/>
          <w:color w:val="auto"/>
          <w:kern w:val="2"/>
          <w:sz w:val="28"/>
          <w:szCs w:val="28"/>
          <w:lang w:val="en-US" w:eastAsia="zh-CN" w:bidi="ar-SA"/>
        </w:rPr>
      </w:pP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1"/>
        <w:rPr>
          <w:rFonts w:hint="eastAsia" w:ascii="仿宋" w:hAnsi="仿宋" w:eastAsia="仿宋" w:cs="仿宋"/>
          <w:b w:val="0"/>
          <w:color w:val="auto"/>
          <w:sz w:val="28"/>
          <w:szCs w:val="28"/>
        </w:rPr>
      </w:pPr>
      <w:r>
        <w:rPr>
          <w:rFonts w:hint="eastAsia" w:ascii="仿宋" w:hAnsi="仿宋" w:eastAsia="仿宋" w:cs="仿宋"/>
          <w:snapToGrid w:val="0"/>
          <w:color w:val="auto"/>
          <w:kern w:val="2"/>
          <w:sz w:val="28"/>
          <w:szCs w:val="28"/>
          <w:lang w:val="en-US" w:eastAsia="zh-CN" w:bidi="ar-SA"/>
        </w:rPr>
        <w:br w:type="page"/>
      </w:r>
      <w:r>
        <w:rPr>
          <w:rFonts w:hint="eastAsia" w:ascii="仿宋" w:hAnsi="仿宋" w:eastAsia="仿宋" w:cs="仿宋"/>
          <w:b w:val="0"/>
          <w:snapToGrid w:val="0"/>
          <w:color w:val="auto"/>
          <w:kern w:val="2"/>
          <w:sz w:val="28"/>
          <w:szCs w:val="28"/>
          <w:lang w:val="en-US" w:eastAsia="zh-CN" w:bidi="ar-SA"/>
        </w:rPr>
        <w:t>附件5：外包服务供应商风险信息表</w:t>
      </w:r>
    </w:p>
    <w:p>
      <w:pPr>
        <w:jc w:val="center"/>
        <w:rPr>
          <w:rFonts w:hint="eastAsia" w:ascii="仿宋" w:hAnsi="仿宋" w:eastAsia="仿宋" w:cs="仿宋"/>
          <w:b/>
          <w:snapToGrid w:val="0"/>
          <w:color w:val="auto"/>
          <w:sz w:val="32"/>
          <w:szCs w:val="32"/>
        </w:rPr>
      </w:pPr>
      <w:r>
        <w:rPr>
          <w:rFonts w:hint="eastAsia" w:ascii="仿宋" w:hAnsi="仿宋" w:eastAsia="仿宋" w:cs="仿宋"/>
          <w:b/>
          <w:snapToGrid w:val="0"/>
          <w:color w:val="auto"/>
          <w:sz w:val="32"/>
          <w:szCs w:val="32"/>
        </w:rPr>
        <w:t>外包服务供应商风险信息表</w:t>
      </w:r>
    </w:p>
    <w:tbl>
      <w:tblPr>
        <w:tblStyle w:val="33"/>
        <w:tblW w:w="833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trPr>
        <w:tc>
          <w:tcPr>
            <w:tcW w:w="2451" w:type="dxa"/>
            <w:vAlign w:val="center"/>
          </w:tcPr>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服务供应商名称</w:t>
            </w:r>
          </w:p>
        </w:tc>
        <w:tc>
          <w:tcPr>
            <w:tcW w:w="5880" w:type="dxa"/>
            <w:vAlign w:val="center"/>
          </w:tcPr>
          <w:p>
            <w:pPr>
              <w:spacing w:line="320" w:lineRule="exact"/>
              <w:jc w:val="left"/>
              <w:rPr>
                <w:rFonts w:hint="eastAsia"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8331" w:type="dxa"/>
            <w:gridSpan w:val="2"/>
            <w:vAlign w:val="center"/>
          </w:tcPr>
          <w:p>
            <w:pPr>
              <w:spacing w:line="320" w:lineRule="exact"/>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trPr>
        <w:tc>
          <w:tcPr>
            <w:tcW w:w="2451" w:type="dxa"/>
            <w:vAlign w:val="center"/>
          </w:tcPr>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1.服务供应商成立时间及其发展历程</w:t>
            </w:r>
          </w:p>
        </w:tc>
        <w:tc>
          <w:tcPr>
            <w:tcW w:w="5880" w:type="dxa"/>
            <w:vAlign w:val="top"/>
          </w:tcPr>
          <w:p>
            <w:pPr>
              <w:spacing w:line="320" w:lineRule="exact"/>
              <w:jc w:val="left"/>
              <w:rPr>
                <w:rFonts w:hint="eastAsia"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trPr>
        <w:tc>
          <w:tcPr>
            <w:tcW w:w="2451"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2.服务供应商的主要股东</w:t>
            </w:r>
          </w:p>
        </w:tc>
        <w:tc>
          <w:tcPr>
            <w:tcW w:w="5880" w:type="dxa"/>
            <w:vAlign w:val="center"/>
          </w:tcPr>
          <w:p>
            <w:pPr>
              <w:spacing w:line="320" w:lineRule="exact"/>
              <w:rPr>
                <w:rFonts w:hint="eastAsia"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trPr>
        <w:tc>
          <w:tcPr>
            <w:tcW w:w="2451"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3.服务供应商的主要经营范围</w:t>
            </w:r>
          </w:p>
        </w:tc>
        <w:tc>
          <w:tcPr>
            <w:tcW w:w="5880" w:type="dxa"/>
            <w:shd w:val="clear" w:color="auto" w:fill="FFFFFF"/>
            <w:vAlign w:val="top"/>
          </w:tcPr>
          <w:p>
            <w:pPr>
              <w:spacing w:line="320" w:lineRule="exact"/>
              <w:rPr>
                <w:rFonts w:hint="eastAsia"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trPr>
        <w:tc>
          <w:tcPr>
            <w:tcW w:w="2451"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4.服务供应商的企业性质（内资企业/港澳台商投资企业/外商投资企业/境外企业）</w:t>
            </w:r>
          </w:p>
        </w:tc>
        <w:tc>
          <w:tcPr>
            <w:tcW w:w="5880" w:type="dxa"/>
            <w:vAlign w:val="center"/>
          </w:tcPr>
          <w:p>
            <w:pPr>
              <w:spacing w:line="320" w:lineRule="exact"/>
              <w:rPr>
                <w:rFonts w:hint="eastAsia"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trPr>
        <w:tc>
          <w:tcPr>
            <w:tcW w:w="2451"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5.服务供应商近三年资产规模、主要收入、盈利状况</w:t>
            </w:r>
          </w:p>
        </w:tc>
        <w:tc>
          <w:tcPr>
            <w:tcW w:w="5880"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trPr>
        <w:tc>
          <w:tcPr>
            <w:tcW w:w="2451"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6.服务供应商目前员工人数、人员学历结构</w:t>
            </w:r>
          </w:p>
        </w:tc>
        <w:tc>
          <w:tcPr>
            <w:tcW w:w="5880"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trPr>
        <w:tc>
          <w:tcPr>
            <w:tcW w:w="2451"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7.列举</w:t>
            </w:r>
            <w:r>
              <w:rPr>
                <w:rFonts w:hint="eastAsia" w:ascii="仿宋" w:hAnsi="仿宋" w:eastAsia="仿宋" w:cs="仿宋"/>
                <w:color w:val="auto"/>
                <w:sz w:val="24"/>
                <w:szCs w:val="24"/>
              </w:rPr>
              <w:t>同业提供类似性质和规模的服务经验</w:t>
            </w:r>
          </w:p>
        </w:tc>
        <w:tc>
          <w:tcPr>
            <w:tcW w:w="5880" w:type="dxa"/>
            <w:vAlign w:val="center"/>
          </w:tcPr>
          <w:p>
            <w:pPr>
              <w:spacing w:line="320" w:lineRule="exact"/>
              <w:rPr>
                <w:rFonts w:hint="eastAsia"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trPr>
        <w:tc>
          <w:tcPr>
            <w:tcW w:w="2451"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8.列举</w:t>
            </w:r>
            <w:r>
              <w:rPr>
                <w:rFonts w:hint="eastAsia" w:ascii="仿宋" w:hAnsi="仿宋" w:eastAsia="仿宋" w:cs="仿宋"/>
                <w:color w:val="auto"/>
                <w:sz w:val="24"/>
                <w:szCs w:val="24"/>
              </w:rPr>
              <w:t>在最近三年的经营活动中违法违纪等不良记录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如有</w:t>
            </w:r>
            <w:r>
              <w:rPr>
                <w:rFonts w:hint="eastAsia" w:ascii="仿宋" w:hAnsi="仿宋" w:eastAsia="仿宋" w:cs="仿宋"/>
                <w:color w:val="auto"/>
                <w:sz w:val="24"/>
                <w:szCs w:val="24"/>
                <w:lang w:eastAsia="zh-CN"/>
              </w:rPr>
              <w:t>）</w:t>
            </w:r>
          </w:p>
        </w:tc>
        <w:tc>
          <w:tcPr>
            <w:tcW w:w="5880"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　</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trPr>
        <w:tc>
          <w:tcPr>
            <w:tcW w:w="2451"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9.提供</w:t>
            </w:r>
            <w:r>
              <w:rPr>
                <w:rFonts w:hint="eastAsia" w:ascii="仿宋" w:hAnsi="仿宋" w:eastAsia="仿宋" w:cs="仿宋"/>
                <w:color w:val="auto"/>
                <w:sz w:val="24"/>
                <w:szCs w:val="24"/>
              </w:rPr>
              <w:t>服务供应商业务连续性安排和应急预案</w:t>
            </w:r>
          </w:p>
        </w:tc>
        <w:tc>
          <w:tcPr>
            <w:tcW w:w="5880" w:type="dxa"/>
            <w:vAlign w:val="center"/>
          </w:tcPr>
          <w:p>
            <w:pPr>
              <w:spacing w:line="320" w:lineRule="exact"/>
              <w:rPr>
                <w:rFonts w:hint="eastAsia"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restart"/>
            <w:vAlign w:val="top"/>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服务供应商</w:t>
            </w:r>
            <w:r>
              <w:rPr>
                <w:rFonts w:hint="eastAsia" w:ascii="仿宋" w:hAnsi="仿宋" w:eastAsia="仿宋" w:cs="仿宋"/>
                <w:color w:val="auto"/>
                <w:sz w:val="24"/>
                <w:szCs w:val="24"/>
                <w:lang w:eastAsia="zh-CN"/>
              </w:rPr>
              <w:t>（盖章）：</w:t>
            </w:r>
            <w:r>
              <w:rPr>
                <w:rFonts w:hint="eastAsia" w:ascii="仿宋" w:hAnsi="仿宋" w:eastAsia="仿宋" w:cs="仿宋"/>
                <w:color w:val="auto"/>
                <w:sz w:val="24"/>
                <w:szCs w:val="24"/>
              </w:rPr>
              <w:t xml:space="preserve">                                </w:t>
            </w:r>
          </w:p>
          <w:p>
            <w:pPr>
              <w:spacing w:line="320" w:lineRule="exact"/>
              <w:rPr>
                <w:rFonts w:hint="eastAsia" w:ascii="仿宋" w:hAnsi="仿宋" w:eastAsia="仿宋" w:cs="仿宋"/>
                <w:color w:val="auto"/>
                <w:sz w:val="24"/>
                <w:szCs w:val="24"/>
              </w:rPr>
            </w:pPr>
          </w:p>
          <w:p>
            <w:pPr>
              <w:spacing w:line="320" w:lineRule="exact"/>
              <w:rPr>
                <w:rFonts w:hint="eastAsia" w:ascii="仿宋" w:hAnsi="仿宋" w:eastAsia="仿宋" w:cs="仿宋"/>
                <w:color w:val="auto"/>
                <w:sz w:val="24"/>
                <w:szCs w:val="24"/>
              </w:rPr>
            </w:pPr>
          </w:p>
          <w:p>
            <w:pPr>
              <w:spacing w:line="320" w:lineRule="exact"/>
              <w:rPr>
                <w:rFonts w:hint="eastAsia" w:ascii="仿宋" w:hAnsi="仿宋" w:eastAsia="仿宋" w:cs="仿宋"/>
                <w:color w:val="auto"/>
                <w:sz w:val="24"/>
                <w:szCs w:val="24"/>
              </w:rPr>
            </w:pPr>
          </w:p>
          <w:p>
            <w:pPr>
              <w:spacing w:line="320" w:lineRule="exact"/>
              <w:rPr>
                <w:rFonts w:hint="eastAsia" w:ascii="仿宋" w:hAnsi="仿宋" w:eastAsia="仿宋" w:cs="仿宋"/>
                <w:color w:val="auto"/>
                <w:sz w:val="24"/>
                <w:szCs w:val="24"/>
              </w:rPr>
            </w:pP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940" w:hRule="atLeast"/>
        </w:trPr>
        <w:tc>
          <w:tcPr>
            <w:tcW w:w="8331" w:type="dxa"/>
            <w:gridSpan w:val="2"/>
            <w:vMerge w:val="continue"/>
            <w:vAlign w:val="center"/>
          </w:tcPr>
          <w:p>
            <w:pPr>
              <w:spacing w:line="320" w:lineRule="exact"/>
              <w:rPr>
                <w:rFonts w:hint="eastAsia" w:ascii="仿宋" w:hAnsi="仿宋" w:eastAsia="仿宋" w:cs="仿宋"/>
                <w:color w:val="auto"/>
                <w:sz w:val="24"/>
                <w:szCs w:val="24"/>
              </w:rPr>
            </w:pPr>
          </w:p>
        </w:tc>
      </w:tr>
    </w:tbl>
    <w:p>
      <w:pPr>
        <w:rPr>
          <w:rFonts w:hint="eastAsia" w:ascii="仿宋" w:hAnsi="仿宋" w:eastAsia="仿宋" w:cs="仿宋"/>
          <w:color w:val="auto"/>
          <w:sz w:val="28"/>
          <w:szCs w:val="28"/>
        </w:rPr>
      </w:pPr>
    </w:p>
    <w:p>
      <w:pPr>
        <w:pStyle w:val="5"/>
        <w:spacing w:after="0" w:line="240" w:lineRule="auto"/>
        <w:jc w:val="left"/>
        <w:rPr>
          <w:rFonts w:hint="eastAsia" w:ascii="仿宋" w:hAnsi="仿宋" w:eastAsia="仿宋" w:cs="仿宋"/>
          <w:b w:val="0"/>
          <w:bCs w:val="0"/>
          <w:snapToGrid w:val="0"/>
          <w:color w:val="auto"/>
          <w:kern w:val="2"/>
          <w:sz w:val="28"/>
          <w:szCs w:val="28"/>
          <w:lang w:val="en-US" w:eastAsia="zh-CN" w:bidi="ar-SA"/>
        </w:rPr>
      </w:pPr>
      <w:r>
        <w:rPr>
          <w:rFonts w:hint="eastAsia" w:ascii="仿宋" w:hAnsi="仿宋" w:eastAsia="仿宋" w:cs="仿宋"/>
          <w:b w:val="0"/>
          <w:bCs w:val="0"/>
          <w:snapToGrid w:val="0"/>
          <w:color w:val="auto"/>
          <w:kern w:val="2"/>
          <w:sz w:val="28"/>
          <w:szCs w:val="28"/>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预估实施周期：12个月（按工作日测算）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预估实施计划：具体时间以项目启动会评估进度为准。</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项目需求</w:t>
      </w:r>
    </w:p>
    <w:p>
      <w:pPr>
        <w:pStyle w:val="2"/>
        <w:ind w:left="0" w:firstLineChars="0"/>
        <w:rPr>
          <w:rFonts w:hint="eastAsia" w:ascii="仿宋" w:hAnsi="仿宋" w:eastAsia="仿宋" w:cs="仿宋"/>
          <w:color w:val="auto"/>
          <w:lang w:val="en-US" w:eastAsia="zh-CN"/>
        </w:rPr>
      </w:pPr>
      <w:r>
        <w:rPr>
          <w:rFonts w:hint="eastAsia" w:ascii="仿宋" w:hAnsi="仿宋" w:eastAsia="仿宋" w:cs="仿宋"/>
          <w:b/>
          <w:bCs/>
          <w:color w:val="auto"/>
          <w:sz w:val="28"/>
          <w:szCs w:val="28"/>
          <w:lang w:val="en-US" w:eastAsia="zh-CN"/>
        </w:rPr>
        <w:t>业务需求：</w:t>
      </w:r>
    </w:p>
    <w:p>
      <w:pPr>
        <w:spacing w:line="360" w:lineRule="auto"/>
        <w:ind w:firstLine="480" w:firstLineChars="20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搭建财富管理平台，包括理财代销系统、基金代销系统</w:t>
      </w:r>
      <w:r>
        <w:rPr>
          <w:rFonts w:hint="eastAsia" w:ascii="仿宋" w:hAnsi="仿宋" w:eastAsia="仿宋" w:cs="仿宋"/>
          <w:color w:val="auto"/>
          <w:sz w:val="24"/>
          <w:szCs w:val="24"/>
          <w:highlight w:val="yellow"/>
          <w:lang w:eastAsia="zh-CN"/>
        </w:rPr>
        <w:t>（含选基）</w:t>
      </w:r>
      <w:r>
        <w:rPr>
          <w:rFonts w:hint="eastAsia" w:ascii="仿宋" w:hAnsi="仿宋" w:eastAsia="仿宋" w:cs="仿宋"/>
          <w:color w:val="auto"/>
          <w:sz w:val="24"/>
          <w:szCs w:val="24"/>
          <w:highlight w:val="yellow"/>
        </w:rPr>
        <w:t>、</w:t>
      </w:r>
      <w:r>
        <w:rPr>
          <w:rFonts w:hint="eastAsia" w:ascii="仿宋" w:hAnsi="仿宋" w:eastAsia="仿宋" w:cs="仿宋"/>
          <w:color w:val="auto"/>
          <w:sz w:val="24"/>
          <w:szCs w:val="24"/>
          <w:highlight w:val="yellow"/>
          <w:lang w:eastAsia="zh-CN"/>
        </w:rPr>
        <w:t>保险代销</w:t>
      </w:r>
      <w:r>
        <w:rPr>
          <w:rFonts w:hint="eastAsia" w:ascii="仿宋" w:hAnsi="仿宋" w:eastAsia="仿宋" w:cs="仿宋"/>
          <w:color w:val="auto"/>
          <w:sz w:val="24"/>
          <w:szCs w:val="24"/>
          <w:highlight w:val="yellow"/>
        </w:rPr>
        <w:t>系统、贵金属</w:t>
      </w:r>
      <w:r>
        <w:rPr>
          <w:rFonts w:hint="eastAsia" w:ascii="仿宋" w:hAnsi="仿宋" w:eastAsia="仿宋" w:cs="仿宋"/>
          <w:color w:val="auto"/>
          <w:sz w:val="24"/>
          <w:szCs w:val="24"/>
          <w:highlight w:val="yellow"/>
          <w:lang w:eastAsia="zh-CN"/>
        </w:rPr>
        <w:t>代销</w:t>
      </w:r>
      <w:r>
        <w:rPr>
          <w:rFonts w:hint="eastAsia" w:ascii="仿宋" w:hAnsi="仿宋" w:eastAsia="仿宋" w:cs="仿宋"/>
          <w:color w:val="auto"/>
          <w:sz w:val="24"/>
          <w:szCs w:val="24"/>
          <w:highlight w:val="yellow"/>
        </w:rPr>
        <w:t>系统、结构性存款</w:t>
      </w:r>
      <w:r>
        <w:rPr>
          <w:rFonts w:hint="eastAsia" w:ascii="仿宋" w:hAnsi="仿宋" w:eastAsia="仿宋" w:cs="仿宋"/>
          <w:color w:val="auto"/>
          <w:sz w:val="24"/>
          <w:szCs w:val="24"/>
          <w:highlight w:val="yellow"/>
          <w:lang w:eastAsia="zh-CN"/>
        </w:rPr>
        <w:t>系统</w:t>
      </w:r>
      <w:r>
        <w:rPr>
          <w:rFonts w:hint="eastAsia" w:ascii="仿宋" w:hAnsi="仿宋" w:eastAsia="仿宋" w:cs="仿宋"/>
          <w:color w:val="auto"/>
          <w:sz w:val="24"/>
          <w:szCs w:val="24"/>
          <w:highlight w:val="yellow"/>
        </w:rPr>
        <w:t>、信托代销系统、理财分销系统、公募投顾系统。</w:t>
      </w:r>
    </w:p>
    <w:p>
      <w:pPr>
        <w:spacing w:line="360" w:lineRule="auto"/>
        <w:ind w:firstLine="480" w:firstLineChars="20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val="en-US" w:eastAsia="zh-CN"/>
        </w:rPr>
        <w:t>一阶段主要实现功能</w:t>
      </w:r>
      <w:r>
        <w:rPr>
          <w:rFonts w:hint="eastAsia" w:ascii="仿宋" w:hAnsi="仿宋" w:eastAsia="仿宋" w:cs="仿宋"/>
          <w:color w:val="auto"/>
          <w:sz w:val="24"/>
          <w:szCs w:val="24"/>
          <w:highlight w:val="yellow"/>
        </w:rPr>
        <w:t>：</w:t>
      </w:r>
      <w:r>
        <w:rPr>
          <w:rFonts w:hint="eastAsia" w:ascii="仿宋" w:hAnsi="仿宋" w:eastAsia="仿宋" w:cs="仿宋"/>
          <w:color w:val="auto"/>
          <w:sz w:val="24"/>
          <w:szCs w:val="24"/>
          <w:highlight w:val="yellow"/>
          <w:lang w:val="en-US" w:eastAsia="zh-CN"/>
        </w:rPr>
        <w:t>公共模块、</w:t>
      </w:r>
      <w:r>
        <w:rPr>
          <w:rFonts w:hint="eastAsia" w:ascii="仿宋" w:hAnsi="仿宋" w:eastAsia="仿宋" w:cs="仿宋"/>
          <w:color w:val="auto"/>
          <w:sz w:val="24"/>
          <w:szCs w:val="24"/>
          <w:highlight w:val="yellow"/>
        </w:rPr>
        <w:t>理财代销系统、基金代销系统（含选基）、保险代销系统、贵金属代销系统、结构性存款系统、信托代销系统。</w:t>
      </w:r>
    </w:p>
    <w:p>
      <w:pPr>
        <w:spacing w:line="360" w:lineRule="auto"/>
        <w:ind w:firstLine="480" w:firstLineChars="20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val="en-US" w:eastAsia="zh-CN"/>
        </w:rPr>
        <w:t>二阶段主要实现功能</w:t>
      </w:r>
      <w:r>
        <w:rPr>
          <w:rFonts w:hint="eastAsia" w:ascii="仿宋" w:hAnsi="仿宋" w:eastAsia="仿宋" w:cs="仿宋"/>
          <w:color w:val="auto"/>
          <w:sz w:val="24"/>
          <w:szCs w:val="24"/>
          <w:highlight w:val="yellow"/>
        </w:rPr>
        <w:t>：理财分销系统、公募投顾系统。</w:t>
      </w:r>
    </w:p>
    <w:p>
      <w:pPr>
        <w:pStyle w:val="2"/>
        <w:ind w:left="0" w:leftChars="0" w:firstLine="420" w:firstLineChars="0"/>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w:t>
      </w:r>
    </w:p>
    <w:p>
      <w:pPr>
        <w:spacing w:line="360" w:lineRule="auto"/>
        <w:ind w:firstLine="482" w:firstLineChars="200"/>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一、公共模块</w:t>
      </w:r>
    </w:p>
    <w:p>
      <w:pPr>
        <w:numPr>
          <w:ilvl w:val="0"/>
          <w:numId w:val="24"/>
        </w:numPr>
        <w:autoSpaceDE w:val="0"/>
        <w:autoSpaceDN w:val="0"/>
        <w:adjustRightInd w:val="0"/>
        <w:spacing w:line="360" w:lineRule="auto"/>
        <w:ind w:right="21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eastAsia="zh-CN"/>
        </w:rPr>
        <w:t>基础</w:t>
      </w:r>
      <w:r>
        <w:rPr>
          <w:rFonts w:hint="eastAsia" w:ascii="仿宋" w:hAnsi="仿宋" w:eastAsia="仿宋" w:cs="仿宋"/>
          <w:color w:val="auto"/>
          <w:sz w:val="24"/>
          <w:szCs w:val="24"/>
          <w:highlight w:val="yellow"/>
        </w:rPr>
        <w:t>管理：</w:t>
      </w:r>
      <w:r>
        <w:rPr>
          <w:rFonts w:hint="eastAsia" w:ascii="仿宋" w:hAnsi="仿宋" w:eastAsia="仿宋" w:cs="仿宋"/>
          <w:color w:val="auto"/>
          <w:sz w:val="24"/>
          <w:szCs w:val="24"/>
          <w:highlight w:val="yellow"/>
          <w:lang w:eastAsia="zh-CN"/>
        </w:rPr>
        <w:t>支持</w:t>
      </w:r>
      <w:r>
        <w:rPr>
          <w:rFonts w:hint="eastAsia" w:ascii="仿宋" w:hAnsi="仿宋" w:eastAsia="仿宋" w:cs="仿宋"/>
          <w:color w:val="auto"/>
          <w:sz w:val="24"/>
          <w:szCs w:val="24"/>
          <w:highlight w:val="yellow"/>
        </w:rPr>
        <w:t>用户管理、机构管理、角色管理、权限管理、</w:t>
      </w:r>
      <w:r>
        <w:rPr>
          <w:rFonts w:hint="eastAsia" w:ascii="仿宋" w:hAnsi="仿宋" w:eastAsia="仿宋" w:cs="仿宋"/>
          <w:color w:val="auto"/>
          <w:sz w:val="24"/>
          <w:szCs w:val="24"/>
          <w:highlight w:val="yellow"/>
          <w:lang w:eastAsia="zh-CN"/>
        </w:rPr>
        <w:t>工作流管理、</w:t>
      </w:r>
      <w:r>
        <w:rPr>
          <w:rFonts w:hint="eastAsia" w:ascii="仿宋" w:hAnsi="仿宋" w:eastAsia="仿宋" w:cs="仿宋"/>
          <w:color w:val="auto"/>
          <w:sz w:val="24"/>
          <w:szCs w:val="24"/>
          <w:highlight w:val="yellow"/>
        </w:rPr>
        <w:t>数据字典管理、</w:t>
      </w:r>
      <w:r>
        <w:rPr>
          <w:rFonts w:hint="eastAsia" w:ascii="仿宋" w:hAnsi="仿宋" w:eastAsia="仿宋" w:cs="仿宋"/>
          <w:color w:val="auto"/>
          <w:sz w:val="24"/>
          <w:szCs w:val="24"/>
          <w:highlight w:val="yellow"/>
          <w:lang w:eastAsia="zh-CN"/>
        </w:rPr>
        <w:t>业务参数管理、</w:t>
      </w:r>
      <w:r>
        <w:rPr>
          <w:rFonts w:hint="eastAsia" w:ascii="仿宋" w:hAnsi="仿宋" w:eastAsia="仿宋" w:cs="仿宋"/>
          <w:color w:val="auto"/>
          <w:sz w:val="24"/>
          <w:szCs w:val="24"/>
          <w:highlight w:val="yellow"/>
        </w:rPr>
        <w:t>系统参数管理</w:t>
      </w:r>
      <w:r>
        <w:rPr>
          <w:rFonts w:hint="eastAsia" w:ascii="仿宋" w:hAnsi="仿宋" w:eastAsia="仿宋" w:cs="仿宋"/>
          <w:color w:val="auto"/>
          <w:sz w:val="24"/>
          <w:szCs w:val="24"/>
          <w:highlight w:val="yellow"/>
          <w:lang w:eastAsia="zh-CN"/>
        </w:rPr>
        <w:t>、接口管理</w:t>
      </w:r>
      <w:r>
        <w:rPr>
          <w:rFonts w:hint="eastAsia" w:ascii="仿宋" w:hAnsi="仿宋" w:eastAsia="仿宋" w:cs="仿宋"/>
          <w:color w:val="auto"/>
          <w:sz w:val="24"/>
          <w:szCs w:val="24"/>
          <w:highlight w:val="yellow"/>
        </w:rPr>
        <w:t>等</w:t>
      </w:r>
      <w:r>
        <w:rPr>
          <w:rFonts w:hint="eastAsia" w:ascii="仿宋" w:hAnsi="仿宋" w:eastAsia="仿宋" w:cs="仿宋"/>
          <w:color w:val="auto"/>
          <w:sz w:val="24"/>
          <w:szCs w:val="24"/>
          <w:highlight w:val="yellow"/>
          <w:lang w:eastAsia="zh-CN"/>
        </w:rPr>
        <w:t>并支持个性化配置，</w:t>
      </w:r>
      <w:r>
        <w:rPr>
          <w:rFonts w:hint="eastAsia" w:ascii="仿宋" w:hAnsi="仿宋" w:eastAsia="仿宋" w:cs="仿宋"/>
          <w:color w:val="auto"/>
          <w:sz w:val="24"/>
          <w:highlight w:val="yellow"/>
        </w:rPr>
        <w:t>参数</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可通过系统界面进行调整，无需修改底层代码</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支持与我行系统同步</w:t>
      </w:r>
      <w:r>
        <w:rPr>
          <w:rFonts w:hint="eastAsia" w:ascii="仿宋" w:hAnsi="仿宋" w:eastAsia="仿宋" w:cs="仿宋"/>
          <w:color w:val="auto"/>
          <w:sz w:val="24"/>
          <w:highlight w:val="yellow"/>
          <w:lang w:eastAsia="zh-CN"/>
        </w:rPr>
        <w:t>；</w:t>
      </w:r>
    </w:p>
    <w:p>
      <w:pPr>
        <w:numPr>
          <w:ilvl w:val="0"/>
          <w:numId w:val="24"/>
        </w:numPr>
        <w:autoSpaceDE w:val="0"/>
        <w:autoSpaceDN w:val="0"/>
        <w:adjustRightInd w:val="0"/>
        <w:spacing w:line="360" w:lineRule="auto"/>
        <w:ind w:right="21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提供换卡交易，包括卡、折丢失或折损等，实现</w:t>
      </w:r>
      <w:r>
        <w:rPr>
          <w:rFonts w:hint="eastAsia" w:ascii="仿宋" w:hAnsi="仿宋" w:eastAsia="仿宋" w:cs="仿宋"/>
          <w:color w:val="auto"/>
          <w:sz w:val="24"/>
          <w:szCs w:val="24"/>
          <w:highlight w:val="yellow"/>
          <w:lang w:eastAsia="zh-CN"/>
        </w:rPr>
        <w:t>财富产品</w:t>
      </w:r>
      <w:r>
        <w:rPr>
          <w:rFonts w:hint="eastAsia" w:ascii="仿宋" w:hAnsi="仿宋" w:eastAsia="仿宋" w:cs="仿宋"/>
          <w:color w:val="auto"/>
          <w:sz w:val="24"/>
          <w:szCs w:val="24"/>
          <w:highlight w:val="yellow"/>
        </w:rPr>
        <w:t>认购信息的介质转移；支持客户号合并、机构调整等；支持多法人，实现村镇银行等多法人的</w:t>
      </w:r>
      <w:r>
        <w:rPr>
          <w:rFonts w:hint="eastAsia" w:ascii="仿宋" w:hAnsi="仿宋" w:eastAsia="仿宋" w:cs="仿宋"/>
          <w:color w:val="auto"/>
          <w:sz w:val="24"/>
          <w:szCs w:val="24"/>
          <w:highlight w:val="yellow"/>
          <w:lang w:eastAsia="zh-CN"/>
        </w:rPr>
        <w:t>销售</w:t>
      </w:r>
      <w:r>
        <w:rPr>
          <w:rFonts w:hint="eastAsia" w:ascii="仿宋" w:hAnsi="仿宋" w:eastAsia="仿宋" w:cs="仿宋"/>
          <w:color w:val="auto"/>
          <w:sz w:val="24"/>
          <w:szCs w:val="24"/>
          <w:highlight w:val="yellow"/>
        </w:rPr>
        <w:t>需求；支持司法冻结及扣划相关功能；支持理财、</w:t>
      </w:r>
      <w:r>
        <w:rPr>
          <w:rFonts w:hint="eastAsia" w:ascii="仿宋" w:hAnsi="仿宋" w:eastAsia="仿宋" w:cs="仿宋"/>
          <w:color w:val="auto"/>
          <w:sz w:val="24"/>
          <w:szCs w:val="24"/>
          <w:highlight w:val="yellow"/>
          <w:lang w:eastAsia="zh-CN"/>
        </w:rPr>
        <w:t>信托、</w:t>
      </w:r>
      <w:r>
        <w:rPr>
          <w:rFonts w:hint="eastAsia" w:ascii="仿宋" w:hAnsi="仿宋" w:eastAsia="仿宋" w:cs="仿宋"/>
          <w:color w:val="auto"/>
          <w:sz w:val="24"/>
          <w:szCs w:val="24"/>
          <w:highlight w:val="yellow"/>
        </w:rPr>
        <w:t>结构性存款</w:t>
      </w:r>
      <w:r>
        <w:rPr>
          <w:rFonts w:hint="eastAsia" w:ascii="仿宋" w:hAnsi="仿宋" w:eastAsia="仿宋" w:cs="仿宋"/>
          <w:color w:val="auto"/>
          <w:sz w:val="24"/>
          <w:szCs w:val="24"/>
          <w:highlight w:val="yellow"/>
          <w:lang w:eastAsia="zh-CN"/>
        </w:rPr>
        <w:t>、基金等财富产品</w:t>
      </w:r>
      <w:r>
        <w:rPr>
          <w:rFonts w:hint="eastAsia" w:ascii="仿宋" w:hAnsi="仿宋" w:eastAsia="仿宋" w:cs="仿宋"/>
          <w:color w:val="auto"/>
          <w:sz w:val="24"/>
          <w:szCs w:val="24"/>
          <w:highlight w:val="yellow"/>
        </w:rPr>
        <w:t>持有证明的开销及查询</w:t>
      </w:r>
      <w:r>
        <w:rPr>
          <w:rFonts w:hint="eastAsia" w:ascii="仿宋" w:hAnsi="仿宋" w:eastAsia="仿宋" w:cs="仿宋"/>
          <w:color w:val="auto"/>
          <w:sz w:val="24"/>
          <w:szCs w:val="24"/>
          <w:highlight w:val="yellow"/>
          <w:lang w:eastAsia="zh-CN"/>
        </w:rPr>
        <w:t>等</w:t>
      </w:r>
      <w:r>
        <w:rPr>
          <w:rFonts w:hint="eastAsia" w:ascii="仿宋" w:hAnsi="仿宋" w:eastAsia="仿宋" w:cs="仿宋"/>
          <w:color w:val="auto"/>
          <w:sz w:val="24"/>
          <w:szCs w:val="24"/>
          <w:highlight w:val="yellow"/>
        </w:rPr>
        <w:t>；支持理财</w:t>
      </w:r>
      <w:r>
        <w:rPr>
          <w:rFonts w:hint="eastAsia" w:ascii="仿宋" w:hAnsi="仿宋" w:eastAsia="仿宋" w:cs="仿宋"/>
          <w:color w:val="auto"/>
          <w:sz w:val="24"/>
          <w:szCs w:val="24"/>
          <w:highlight w:val="yellow"/>
          <w:lang w:eastAsia="zh-CN"/>
        </w:rPr>
        <w:t>、结构性存款</w:t>
      </w:r>
      <w:r>
        <w:rPr>
          <w:rFonts w:hint="eastAsia" w:ascii="仿宋" w:hAnsi="仿宋" w:eastAsia="仿宋" w:cs="仿宋"/>
          <w:color w:val="auto"/>
          <w:sz w:val="24"/>
          <w:szCs w:val="24"/>
          <w:highlight w:val="yellow"/>
        </w:rPr>
        <w:t>质押及理财产品转让等；</w:t>
      </w:r>
      <w:r>
        <w:rPr>
          <w:rFonts w:hint="eastAsia" w:ascii="仿宋" w:hAnsi="仿宋" w:eastAsia="仿宋" w:cs="仿宋"/>
          <w:color w:val="auto"/>
          <w:sz w:val="24"/>
          <w:szCs w:val="24"/>
          <w:highlight w:val="yellow"/>
          <w:lang w:eastAsia="zh-CN"/>
        </w:rPr>
        <w:t>支持统一的客户风险评估；支持评估客户情况</w:t>
      </w:r>
      <w:r>
        <w:rPr>
          <w:rFonts w:hint="eastAsia" w:ascii="仿宋" w:hAnsi="仿宋" w:eastAsia="仿宋" w:cs="仿宋"/>
          <w:color w:val="auto"/>
          <w:sz w:val="24"/>
          <w:highlight w:val="yellow"/>
        </w:rPr>
        <w:t>对相关策略进行数据落地以及参数化配置管理</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szCs w:val="24"/>
          <w:highlight w:val="yellow"/>
          <w:lang w:eastAsia="zh-CN"/>
        </w:rPr>
        <w:t>财富产品组合购买；</w:t>
      </w:r>
      <w:r>
        <w:rPr>
          <w:rFonts w:hint="eastAsia" w:ascii="仿宋" w:hAnsi="仿宋" w:eastAsia="仿宋" w:cs="仿宋"/>
          <w:color w:val="auto"/>
          <w:sz w:val="24"/>
          <w:szCs w:val="24"/>
          <w:highlight w:val="yellow"/>
        </w:rPr>
        <w:t>支持与行内各类渠道对接完成相关交易</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rPr>
        <w:t>支持</w:t>
      </w:r>
      <w:r>
        <w:rPr>
          <w:rFonts w:hint="eastAsia" w:ascii="仿宋" w:hAnsi="仿宋" w:eastAsia="仿宋" w:cs="仿宋"/>
          <w:color w:val="auto"/>
          <w:sz w:val="24"/>
          <w:szCs w:val="24"/>
          <w:highlight w:val="yellow"/>
          <w:lang w:eastAsia="zh-CN"/>
        </w:rPr>
        <w:t>与</w:t>
      </w:r>
      <w:r>
        <w:rPr>
          <w:rFonts w:hint="eastAsia" w:ascii="仿宋" w:hAnsi="仿宋" w:eastAsia="仿宋" w:cs="仿宋"/>
          <w:color w:val="auto"/>
          <w:sz w:val="24"/>
          <w:szCs w:val="24"/>
          <w:highlight w:val="yellow"/>
        </w:rPr>
        <w:t>核心模块对接完成资金清算流程</w:t>
      </w:r>
      <w:r>
        <w:rPr>
          <w:rFonts w:hint="eastAsia" w:ascii="仿宋" w:hAnsi="仿宋" w:eastAsia="仿宋" w:cs="仿宋"/>
          <w:color w:val="auto"/>
          <w:sz w:val="24"/>
          <w:szCs w:val="24"/>
          <w:highlight w:val="yellow"/>
          <w:lang w:eastAsia="zh-CN"/>
        </w:rPr>
        <w:t>，定期进行核对校验并进行结果提醒；</w:t>
      </w:r>
      <w:r>
        <w:rPr>
          <w:rFonts w:hint="eastAsia" w:ascii="仿宋" w:hAnsi="仿宋" w:eastAsia="仿宋" w:cs="仿宋"/>
          <w:color w:val="auto"/>
          <w:sz w:val="24"/>
          <w:szCs w:val="24"/>
          <w:highlight w:val="yellow"/>
        </w:rPr>
        <w:t>支持操</w:t>
      </w:r>
      <w:r>
        <w:rPr>
          <w:rFonts w:hint="eastAsia" w:ascii="仿宋" w:hAnsi="仿宋" w:eastAsia="仿宋" w:cs="仿宋"/>
          <w:color w:val="auto"/>
          <w:sz w:val="24"/>
          <w:szCs w:val="24"/>
          <w:highlight w:val="yellow"/>
          <w:lang w:eastAsia="zh-CN"/>
        </w:rPr>
        <w:t>作</w:t>
      </w:r>
      <w:r>
        <w:rPr>
          <w:rFonts w:hint="eastAsia" w:ascii="仿宋" w:hAnsi="仿宋" w:eastAsia="仿宋" w:cs="仿宋"/>
          <w:color w:val="auto"/>
          <w:sz w:val="24"/>
          <w:szCs w:val="24"/>
          <w:highlight w:val="yellow"/>
        </w:rPr>
        <w:t>记录留痕；</w:t>
      </w:r>
      <w:r>
        <w:rPr>
          <w:rFonts w:hint="eastAsia" w:ascii="仿宋" w:hAnsi="仿宋" w:eastAsia="仿宋" w:cs="仿宋"/>
          <w:color w:val="auto"/>
          <w:sz w:val="24"/>
          <w:szCs w:val="24"/>
          <w:highlight w:val="yellow"/>
          <w:lang w:eastAsia="zh-CN"/>
        </w:rPr>
        <w:t>支持系统</w:t>
      </w:r>
      <w:r>
        <w:rPr>
          <w:rFonts w:hint="eastAsia" w:ascii="仿宋" w:hAnsi="仿宋" w:eastAsia="仿宋" w:cs="仿宋"/>
          <w:color w:val="auto"/>
          <w:sz w:val="24"/>
          <w:szCs w:val="24"/>
          <w:highlight w:val="yellow"/>
        </w:rPr>
        <w:t>与录音录像系统、短信平台等的交互对接，实现</w:t>
      </w:r>
      <w:r>
        <w:rPr>
          <w:rFonts w:hint="eastAsia" w:ascii="仿宋" w:hAnsi="仿宋" w:eastAsia="仿宋" w:cs="仿宋"/>
          <w:color w:val="auto"/>
          <w:sz w:val="24"/>
          <w:szCs w:val="24"/>
          <w:highlight w:val="yellow"/>
          <w:lang w:eastAsia="zh-CN"/>
        </w:rPr>
        <w:t>产品</w:t>
      </w:r>
      <w:r>
        <w:rPr>
          <w:rFonts w:hint="eastAsia" w:ascii="仿宋" w:hAnsi="仿宋" w:eastAsia="仿宋" w:cs="仿宋"/>
          <w:color w:val="auto"/>
          <w:sz w:val="24"/>
          <w:szCs w:val="24"/>
          <w:highlight w:val="yellow"/>
        </w:rPr>
        <w:t>销售过程的同步录音、录像及回溯</w:t>
      </w:r>
      <w:r>
        <w:rPr>
          <w:rFonts w:hint="eastAsia" w:ascii="仿宋" w:hAnsi="仿宋" w:eastAsia="仿宋" w:cs="仿宋"/>
          <w:color w:val="auto"/>
          <w:sz w:val="24"/>
          <w:szCs w:val="24"/>
          <w:highlight w:val="yellow"/>
          <w:lang w:eastAsia="zh-CN"/>
        </w:rPr>
        <w:t>；</w:t>
      </w:r>
    </w:p>
    <w:p>
      <w:pPr>
        <w:pStyle w:val="124"/>
        <w:numPr>
          <w:ilvl w:val="0"/>
          <w:numId w:val="24"/>
        </w:numPr>
        <w:spacing w:line="360" w:lineRule="auto"/>
        <w:ind w:firstLineChars="0"/>
        <w:jc w:val="left"/>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eastAsia="zh-CN"/>
        </w:rPr>
        <w:t>完成</w:t>
      </w:r>
      <w:r>
        <w:rPr>
          <w:rFonts w:hint="eastAsia" w:ascii="仿宋" w:hAnsi="仿宋" w:eastAsia="仿宋" w:cs="仿宋"/>
          <w:color w:val="auto"/>
          <w:sz w:val="24"/>
          <w:szCs w:val="24"/>
          <w:highlight w:val="yellow"/>
        </w:rPr>
        <w:t>现有</w:t>
      </w:r>
      <w:r>
        <w:rPr>
          <w:rFonts w:hint="eastAsia" w:ascii="仿宋" w:hAnsi="仿宋" w:eastAsia="仿宋" w:cs="仿宋"/>
          <w:color w:val="auto"/>
          <w:sz w:val="24"/>
          <w:szCs w:val="24"/>
          <w:highlight w:val="yellow"/>
          <w:lang w:eastAsia="zh-CN"/>
        </w:rPr>
        <w:t>产品业务的数据</w:t>
      </w:r>
      <w:r>
        <w:rPr>
          <w:rFonts w:hint="eastAsia" w:ascii="仿宋" w:hAnsi="仿宋" w:eastAsia="仿宋" w:cs="仿宋"/>
          <w:color w:val="auto"/>
          <w:sz w:val="24"/>
          <w:szCs w:val="24"/>
          <w:highlight w:val="yellow"/>
        </w:rPr>
        <w:t>迁移</w:t>
      </w:r>
      <w:r>
        <w:rPr>
          <w:rFonts w:hint="eastAsia" w:ascii="仿宋" w:hAnsi="仿宋" w:eastAsia="仿宋" w:cs="仿宋"/>
          <w:color w:val="auto"/>
          <w:sz w:val="24"/>
          <w:szCs w:val="24"/>
          <w:highlight w:val="yellow"/>
          <w:lang w:eastAsia="zh-CN"/>
        </w:rPr>
        <w:t>；</w:t>
      </w:r>
    </w:p>
    <w:p>
      <w:pPr>
        <w:pStyle w:val="124"/>
        <w:numPr>
          <w:ilvl w:val="0"/>
          <w:numId w:val="24"/>
        </w:numPr>
        <w:spacing w:line="360" w:lineRule="auto"/>
        <w:ind w:firstLineChars="0"/>
        <w:jc w:val="left"/>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满足业务监管和数据报送的需要</w:t>
      </w:r>
      <w:r>
        <w:rPr>
          <w:rFonts w:hint="eastAsia" w:ascii="仿宋" w:hAnsi="仿宋" w:eastAsia="仿宋" w:cs="仿宋"/>
          <w:color w:val="auto"/>
          <w:sz w:val="24"/>
          <w:szCs w:val="24"/>
          <w:highlight w:val="yellow"/>
          <w:lang w:eastAsia="zh-CN"/>
        </w:rPr>
        <w:t>；</w:t>
      </w:r>
    </w:p>
    <w:p>
      <w:pPr>
        <w:pStyle w:val="124"/>
        <w:numPr>
          <w:ilvl w:val="0"/>
          <w:numId w:val="24"/>
        </w:numPr>
        <w:spacing w:line="360" w:lineRule="auto"/>
        <w:ind w:firstLineChars="0"/>
        <w:jc w:val="left"/>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提供客户端界面原型</w:t>
      </w:r>
      <w:r>
        <w:rPr>
          <w:rFonts w:hint="eastAsia" w:ascii="仿宋" w:hAnsi="仿宋" w:eastAsia="仿宋" w:cs="仿宋"/>
          <w:color w:val="auto"/>
          <w:sz w:val="24"/>
          <w:szCs w:val="24"/>
          <w:highlight w:val="yellow"/>
          <w:lang w:eastAsia="zh-CN"/>
        </w:rPr>
        <w:t>；</w:t>
      </w:r>
    </w:p>
    <w:p>
      <w:pPr>
        <w:pStyle w:val="124"/>
        <w:numPr>
          <w:ilvl w:val="0"/>
          <w:numId w:val="24"/>
        </w:numPr>
        <w:spacing w:line="360" w:lineRule="auto"/>
        <w:ind w:firstLineChars="0"/>
        <w:jc w:val="left"/>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eastAsia="zh-CN"/>
        </w:rPr>
        <w:t>按本行数据标准进行落地实施；</w:t>
      </w:r>
    </w:p>
    <w:p>
      <w:pPr>
        <w:pStyle w:val="124"/>
        <w:numPr>
          <w:ilvl w:val="0"/>
          <w:numId w:val="0"/>
        </w:numPr>
        <w:spacing w:line="360" w:lineRule="auto"/>
        <w:ind w:left="400" w:leftChars="0"/>
        <w:jc w:val="left"/>
        <w:rPr>
          <w:rFonts w:hint="eastAsia" w:ascii="仿宋" w:hAnsi="仿宋" w:eastAsia="仿宋" w:cs="仿宋"/>
          <w:color w:val="auto"/>
          <w:sz w:val="24"/>
          <w:szCs w:val="24"/>
          <w:highlight w:val="yellow"/>
        </w:rPr>
      </w:pPr>
    </w:p>
    <w:p>
      <w:pPr>
        <w:spacing w:line="360" w:lineRule="auto"/>
        <w:ind w:firstLine="482" w:firstLineChars="200"/>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二、理财代销系统</w:t>
      </w:r>
    </w:p>
    <w:p>
      <w:pPr>
        <w:spacing w:line="360" w:lineRule="auto"/>
        <w:ind w:firstLine="480" w:firstLineChars="20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支持分销机构所提供的理财产品代销</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产品包括封闭式净值型产品、产品周期式净值型产品、货币式净值型产品（T+N</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N&gt;=0）、客户周期型净值型产品、私募净值型产品等所有产品类型，对接行内渠道包括</w:t>
      </w:r>
      <w:r>
        <w:rPr>
          <w:rFonts w:hint="eastAsia" w:ascii="仿宋" w:hAnsi="仿宋" w:eastAsia="仿宋" w:cs="仿宋"/>
          <w:color w:val="auto"/>
          <w:sz w:val="24"/>
          <w:highlight w:val="yellow"/>
          <w:lang w:eastAsia="zh-CN"/>
        </w:rPr>
        <w:t>但不限于</w:t>
      </w:r>
      <w:r>
        <w:rPr>
          <w:rFonts w:hint="eastAsia" w:ascii="仿宋" w:hAnsi="仿宋" w:eastAsia="仿宋" w:cs="仿宋"/>
          <w:color w:val="auto"/>
          <w:sz w:val="24"/>
          <w:highlight w:val="yellow"/>
        </w:rPr>
        <w:t>柜面、VTM、对公网银</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个人及对公手机银行</w:t>
      </w:r>
      <w:r>
        <w:rPr>
          <w:rFonts w:hint="eastAsia" w:ascii="仿宋" w:hAnsi="仿宋" w:eastAsia="仿宋" w:cs="仿宋"/>
          <w:color w:val="auto"/>
          <w:sz w:val="24"/>
          <w:highlight w:val="yellow"/>
          <w:lang w:eastAsia="zh-CN"/>
        </w:rPr>
        <w:t>、云银行、小燕平台、移动厅堂、</w:t>
      </w:r>
      <w:r>
        <w:rPr>
          <w:rFonts w:hint="eastAsia" w:ascii="仿宋" w:hAnsi="仿宋" w:eastAsia="仿宋" w:cs="仿宋"/>
          <w:color w:val="auto"/>
          <w:sz w:val="24"/>
          <w:highlight w:val="yellow"/>
          <w:lang w:val="en-US" w:eastAsia="zh-CN"/>
        </w:rPr>
        <w:t>ATMC端、小程序等（渠道可根据自营理财迁移情况分批次对接），</w:t>
      </w:r>
      <w:r>
        <w:rPr>
          <w:rFonts w:hint="eastAsia" w:ascii="仿宋" w:hAnsi="仿宋" w:eastAsia="仿宋" w:cs="仿宋"/>
          <w:color w:val="auto"/>
          <w:sz w:val="24"/>
          <w:highlight w:val="yellow"/>
        </w:rPr>
        <w:t>功能模块包括：</w:t>
      </w:r>
    </w:p>
    <w:p>
      <w:pPr>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分销机构</w:t>
      </w:r>
      <w:r>
        <w:rPr>
          <w:rFonts w:hint="eastAsia" w:ascii="仿宋" w:hAnsi="仿宋" w:eastAsia="仿宋" w:cs="仿宋"/>
          <w:color w:val="auto"/>
          <w:sz w:val="24"/>
          <w:highlight w:val="yellow"/>
        </w:rPr>
        <w:t>管理：支持对接多个分销机构，提供分销机构的准入管理、分销机构费率、折扣及分润的管理等</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完成</w:t>
      </w:r>
      <w:r>
        <w:rPr>
          <w:rFonts w:hint="eastAsia" w:ascii="仿宋" w:hAnsi="仿宋" w:eastAsia="仿宋" w:cs="仿宋"/>
          <w:color w:val="auto"/>
          <w:sz w:val="24"/>
          <w:highlight w:val="yellow"/>
          <w:lang w:eastAsia="zh-CN"/>
        </w:rPr>
        <w:t>至少</w:t>
      </w:r>
      <w:r>
        <w:rPr>
          <w:rFonts w:hint="eastAsia" w:ascii="仿宋" w:hAnsi="仿宋" w:eastAsia="仿宋" w:cs="仿宋"/>
          <w:color w:val="auto"/>
          <w:sz w:val="24"/>
          <w:highlight w:val="yellow"/>
          <w:lang w:val="en-US" w:eastAsia="zh-CN"/>
        </w:rPr>
        <w:t>5</w:t>
      </w:r>
      <w:r>
        <w:rPr>
          <w:rFonts w:hint="eastAsia" w:ascii="仿宋" w:hAnsi="仿宋" w:eastAsia="仿宋" w:cs="仿宋"/>
          <w:color w:val="auto"/>
          <w:sz w:val="24"/>
          <w:highlight w:val="yellow"/>
        </w:rPr>
        <w:t>家理财子公司或商业银行的接入</w:t>
      </w:r>
      <w:r>
        <w:rPr>
          <w:rFonts w:hint="eastAsia" w:ascii="仿宋" w:hAnsi="仿宋" w:eastAsia="仿宋" w:cs="仿宋"/>
          <w:color w:val="auto"/>
          <w:sz w:val="24"/>
          <w:highlight w:val="yellow"/>
          <w:lang w:eastAsia="zh-CN"/>
        </w:rPr>
        <w:t>；</w:t>
      </w:r>
    </w:p>
    <w:p>
      <w:pPr>
        <w:pStyle w:val="124"/>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客户管理：支持客户基本信息、客户签约管理和客户风险评级管理</w:t>
      </w:r>
      <w:r>
        <w:rPr>
          <w:rFonts w:hint="eastAsia" w:ascii="仿宋" w:hAnsi="仿宋" w:eastAsia="仿宋" w:cs="仿宋"/>
          <w:color w:val="auto"/>
          <w:sz w:val="24"/>
          <w:highlight w:val="yellow"/>
          <w:lang w:eastAsia="zh-CN"/>
        </w:rPr>
        <w:t>等，</w:t>
      </w:r>
      <w:r>
        <w:rPr>
          <w:rFonts w:hint="eastAsia" w:ascii="仿宋" w:hAnsi="仿宋" w:eastAsia="仿宋" w:cs="仿宋"/>
          <w:color w:val="auto"/>
          <w:sz w:val="24"/>
          <w:highlight w:val="yellow"/>
        </w:rPr>
        <w:t>与本行的客户信息同步；</w:t>
      </w:r>
    </w:p>
    <w:p>
      <w:pPr>
        <w:pStyle w:val="124"/>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客户经理管理：</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客户经理</w:t>
      </w:r>
      <w:r>
        <w:rPr>
          <w:rFonts w:hint="eastAsia" w:ascii="仿宋" w:hAnsi="仿宋" w:eastAsia="仿宋" w:cs="仿宋"/>
          <w:color w:val="auto"/>
          <w:sz w:val="24"/>
          <w:highlight w:val="yellow"/>
          <w:lang w:eastAsia="zh-CN"/>
        </w:rPr>
        <w:t>基本</w:t>
      </w:r>
      <w:r>
        <w:rPr>
          <w:rFonts w:hint="eastAsia" w:ascii="仿宋" w:hAnsi="仿宋" w:eastAsia="仿宋" w:cs="仿宋"/>
          <w:color w:val="auto"/>
          <w:sz w:val="24"/>
          <w:highlight w:val="yellow"/>
        </w:rPr>
        <w:t>信息、业绩查询及统计、客户经理销售资质管理等；</w:t>
      </w:r>
    </w:p>
    <w:p>
      <w:pPr>
        <w:pStyle w:val="124"/>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产品管理：支持产品</w:t>
      </w:r>
      <w:r>
        <w:rPr>
          <w:rFonts w:hint="eastAsia" w:ascii="仿宋" w:hAnsi="仿宋" w:eastAsia="仿宋" w:cs="仿宋"/>
          <w:color w:val="auto"/>
          <w:sz w:val="24"/>
          <w:highlight w:val="yellow"/>
          <w:lang w:eastAsia="zh-CN"/>
        </w:rPr>
        <w:t>准入</w:t>
      </w:r>
      <w:r>
        <w:rPr>
          <w:rFonts w:hint="eastAsia" w:ascii="仿宋" w:hAnsi="仿宋" w:eastAsia="仿宋" w:cs="仿宋"/>
          <w:color w:val="auto"/>
          <w:sz w:val="24"/>
          <w:highlight w:val="yellow"/>
        </w:rPr>
        <w:t>管理、</w:t>
      </w:r>
      <w:r>
        <w:rPr>
          <w:rFonts w:hint="eastAsia" w:ascii="仿宋" w:hAnsi="仿宋" w:eastAsia="仿宋" w:cs="仿宋"/>
          <w:color w:val="auto"/>
          <w:sz w:val="24"/>
          <w:highlight w:val="yellow"/>
          <w:lang w:eastAsia="zh-CN"/>
        </w:rPr>
        <w:t>净值</w:t>
      </w:r>
      <w:r>
        <w:rPr>
          <w:rFonts w:hint="eastAsia" w:ascii="仿宋" w:hAnsi="仿宋" w:eastAsia="仿宋" w:cs="仿宋"/>
          <w:color w:val="auto"/>
          <w:sz w:val="24"/>
          <w:highlight w:val="yellow"/>
        </w:rPr>
        <w:t>行情</w:t>
      </w:r>
      <w:r>
        <w:rPr>
          <w:rFonts w:hint="eastAsia" w:ascii="仿宋" w:hAnsi="仿宋" w:eastAsia="仿宋" w:cs="仿宋"/>
          <w:color w:val="auto"/>
          <w:sz w:val="24"/>
          <w:highlight w:val="yellow"/>
          <w:lang w:eastAsia="zh-CN"/>
        </w:rPr>
        <w:t>信息管理</w:t>
      </w:r>
      <w:r>
        <w:rPr>
          <w:rFonts w:hint="eastAsia" w:ascii="仿宋" w:hAnsi="仿宋" w:eastAsia="仿宋" w:cs="仿宋"/>
          <w:color w:val="auto"/>
          <w:sz w:val="24"/>
          <w:highlight w:val="yellow"/>
        </w:rPr>
        <w:t>等，支持净值、收益等产品行情信息</w:t>
      </w:r>
      <w:r>
        <w:rPr>
          <w:rFonts w:hint="eastAsia" w:ascii="仿宋" w:hAnsi="仿宋" w:eastAsia="仿宋" w:cs="仿宋"/>
          <w:color w:val="auto"/>
          <w:sz w:val="24"/>
          <w:highlight w:val="yellow"/>
          <w:lang w:eastAsia="zh-CN"/>
        </w:rPr>
        <w:t>的</w:t>
      </w:r>
      <w:r>
        <w:rPr>
          <w:rFonts w:hint="eastAsia" w:ascii="仿宋" w:hAnsi="仿宋" w:eastAsia="仿宋" w:cs="仿宋"/>
          <w:color w:val="auto"/>
          <w:sz w:val="24"/>
          <w:highlight w:val="yellow"/>
        </w:rPr>
        <w:t>实时更新展示</w:t>
      </w:r>
      <w:r>
        <w:rPr>
          <w:rFonts w:hint="eastAsia" w:ascii="仿宋" w:hAnsi="仿宋" w:eastAsia="仿宋" w:cs="仿宋"/>
          <w:color w:val="auto"/>
          <w:sz w:val="24"/>
          <w:highlight w:val="yellow"/>
          <w:lang w:eastAsia="zh-CN"/>
        </w:rPr>
        <w:t>；</w:t>
      </w:r>
    </w:p>
    <w:p>
      <w:pPr>
        <w:pStyle w:val="124"/>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销售管理：支持各</w:t>
      </w:r>
      <w:r>
        <w:rPr>
          <w:rFonts w:hint="eastAsia" w:ascii="仿宋" w:hAnsi="仿宋" w:eastAsia="仿宋" w:cs="仿宋"/>
          <w:color w:val="auto"/>
          <w:sz w:val="24"/>
          <w:highlight w:val="yellow"/>
          <w:lang w:eastAsia="zh-CN"/>
        </w:rPr>
        <w:t>类产品</w:t>
      </w:r>
      <w:r>
        <w:rPr>
          <w:rFonts w:hint="eastAsia" w:ascii="仿宋" w:hAnsi="仿宋" w:eastAsia="仿宋" w:cs="仿宋"/>
          <w:color w:val="auto"/>
          <w:sz w:val="24"/>
          <w:highlight w:val="yellow"/>
        </w:rPr>
        <w:t>的销售，支持客户账户管理、销售文档管理、产品上下架管理、资金处理、销售额度、销售费率等的管理，支持按区域、客群、机构、人员、渠道、邀约码、黑白名单等销售控制，满足销售适当性等目前已有的监管要求，实现产品的多维度实时销售管理</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支持产品灵活赎回，包括设置产品默认赎回功能</w:t>
      </w:r>
      <w:r>
        <w:rPr>
          <w:rFonts w:hint="eastAsia" w:ascii="仿宋" w:hAnsi="仿宋" w:eastAsia="仿宋" w:cs="仿宋"/>
          <w:color w:val="auto"/>
          <w:sz w:val="24"/>
          <w:highlight w:val="yellow"/>
          <w:lang w:eastAsia="zh-CN"/>
        </w:rPr>
        <w:t>并</w:t>
      </w:r>
      <w:r>
        <w:rPr>
          <w:rFonts w:hint="eastAsia" w:ascii="仿宋" w:hAnsi="仿宋" w:eastAsia="仿宋" w:cs="仿宋"/>
          <w:color w:val="auto"/>
          <w:sz w:val="24"/>
          <w:highlight w:val="yellow"/>
        </w:rPr>
        <w:t>支持客户二次选择</w:t>
      </w:r>
      <w:r>
        <w:rPr>
          <w:rFonts w:hint="eastAsia" w:ascii="仿宋" w:hAnsi="仿宋" w:eastAsia="仿宋" w:cs="仿宋"/>
          <w:color w:val="auto"/>
          <w:sz w:val="24"/>
          <w:highlight w:val="yellow"/>
          <w:lang w:eastAsia="zh-CN"/>
        </w:rPr>
        <w:t>确认，</w:t>
      </w:r>
      <w:r>
        <w:rPr>
          <w:rFonts w:hint="eastAsia" w:ascii="仿宋" w:hAnsi="仿宋" w:eastAsia="仿宋" w:cs="仿宋"/>
          <w:color w:val="auto"/>
          <w:sz w:val="24"/>
          <w:highlight w:val="yellow"/>
        </w:rPr>
        <w:t>以及支持客户在指定日期预约赎回等</w:t>
      </w:r>
      <w:r>
        <w:rPr>
          <w:rFonts w:hint="eastAsia" w:ascii="仿宋" w:hAnsi="仿宋" w:eastAsia="仿宋" w:cs="仿宋"/>
          <w:color w:val="auto"/>
          <w:sz w:val="24"/>
          <w:highlight w:val="yellow"/>
          <w:lang w:eastAsia="zh-CN"/>
        </w:rPr>
        <w:t>；支持开放期、到期客户信息提醒，支持开放期、成立到期日、账单日等特殊节点管理员提醒；</w:t>
      </w:r>
    </w:p>
    <w:p>
      <w:pPr>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客户账单：支持客户账单</w:t>
      </w:r>
      <w:r>
        <w:rPr>
          <w:rFonts w:hint="eastAsia" w:ascii="仿宋" w:hAnsi="仿宋" w:eastAsia="仿宋" w:cs="仿宋"/>
          <w:color w:val="auto"/>
          <w:sz w:val="24"/>
          <w:highlight w:val="yellow"/>
          <w:lang w:eastAsia="zh-CN"/>
        </w:rPr>
        <w:t>定期自动</w:t>
      </w:r>
      <w:r>
        <w:rPr>
          <w:rFonts w:hint="eastAsia" w:ascii="仿宋" w:hAnsi="仿宋" w:eastAsia="仿宋" w:cs="仿宋"/>
          <w:color w:val="auto"/>
          <w:sz w:val="24"/>
          <w:highlight w:val="yellow"/>
        </w:rPr>
        <w:t>生成并推送至微信、</w:t>
      </w:r>
      <w:r>
        <w:rPr>
          <w:rFonts w:hint="eastAsia" w:ascii="仿宋" w:hAnsi="仿宋" w:eastAsia="仿宋" w:cs="仿宋"/>
          <w:color w:val="auto"/>
          <w:sz w:val="24"/>
          <w:highlight w:val="yellow"/>
          <w:lang w:eastAsia="zh-CN"/>
        </w:rPr>
        <w:t>短信、</w:t>
      </w:r>
      <w:r>
        <w:rPr>
          <w:rFonts w:hint="eastAsia" w:ascii="仿宋" w:hAnsi="仿宋" w:eastAsia="仿宋" w:cs="仿宋"/>
          <w:color w:val="auto"/>
          <w:sz w:val="24"/>
          <w:highlight w:val="yellow"/>
        </w:rPr>
        <w:t>手机银行等</w:t>
      </w:r>
      <w:r>
        <w:rPr>
          <w:rFonts w:hint="eastAsia" w:ascii="仿宋" w:hAnsi="仿宋" w:eastAsia="仿宋" w:cs="仿宋"/>
          <w:color w:val="auto"/>
          <w:sz w:val="24"/>
          <w:highlight w:val="yellow"/>
          <w:lang w:eastAsia="zh-CN"/>
        </w:rPr>
        <w:t>相关</w:t>
      </w:r>
      <w:r>
        <w:rPr>
          <w:rFonts w:hint="eastAsia" w:ascii="仿宋" w:hAnsi="仿宋" w:eastAsia="仿宋" w:cs="仿宋"/>
          <w:color w:val="auto"/>
          <w:sz w:val="24"/>
          <w:highlight w:val="yellow"/>
        </w:rPr>
        <w:t>渠道</w:t>
      </w:r>
      <w:r>
        <w:rPr>
          <w:rFonts w:hint="eastAsia" w:ascii="仿宋" w:hAnsi="仿宋" w:eastAsia="仿宋" w:cs="仿宋"/>
          <w:color w:val="auto"/>
          <w:sz w:val="24"/>
          <w:highlight w:val="yellow"/>
          <w:lang w:eastAsia="zh-CN"/>
        </w:rPr>
        <w:t>，并支持打印；</w:t>
      </w:r>
    </w:p>
    <w:p>
      <w:pPr>
        <w:pStyle w:val="124"/>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对账</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：支持销售数据、核心账务、客户份额等</w:t>
      </w:r>
      <w:r>
        <w:rPr>
          <w:rFonts w:hint="eastAsia" w:ascii="仿宋" w:hAnsi="仿宋" w:eastAsia="仿宋" w:cs="仿宋"/>
          <w:color w:val="auto"/>
          <w:sz w:val="24"/>
          <w:highlight w:val="yellow"/>
          <w:lang w:eastAsia="zh-CN"/>
        </w:rPr>
        <w:t>的</w:t>
      </w:r>
      <w:r>
        <w:rPr>
          <w:rFonts w:hint="eastAsia" w:ascii="仿宋" w:hAnsi="仿宋" w:eastAsia="仿宋" w:cs="仿宋"/>
          <w:color w:val="auto"/>
          <w:sz w:val="24"/>
          <w:highlight w:val="yellow"/>
        </w:rPr>
        <w:t>对账及检查，以及差错处理</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对账结果</w:t>
      </w:r>
      <w:r>
        <w:rPr>
          <w:rFonts w:hint="eastAsia" w:ascii="仿宋" w:hAnsi="仿宋" w:eastAsia="仿宋" w:cs="仿宋"/>
          <w:color w:val="auto"/>
          <w:sz w:val="24"/>
          <w:highlight w:val="yellow"/>
          <w:lang w:eastAsia="zh-CN"/>
        </w:rPr>
        <w:t>通知提醒等</w:t>
      </w:r>
      <w:r>
        <w:rPr>
          <w:rFonts w:hint="eastAsia" w:ascii="仿宋" w:hAnsi="仿宋" w:eastAsia="仿宋" w:cs="仿宋"/>
          <w:color w:val="auto"/>
          <w:sz w:val="24"/>
          <w:highlight w:val="yellow"/>
        </w:rPr>
        <w:t>；</w:t>
      </w:r>
    </w:p>
    <w:p>
      <w:pPr>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清算</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：支持认申购、兑付赎回、分红等资金的全额、轧差核对、划转等，支持手续费自动计算并划转</w:t>
      </w:r>
      <w:r>
        <w:rPr>
          <w:rFonts w:hint="eastAsia" w:ascii="仿宋" w:hAnsi="仿宋" w:eastAsia="仿宋" w:cs="仿宋"/>
          <w:color w:val="auto"/>
          <w:sz w:val="24"/>
          <w:highlight w:val="yellow"/>
          <w:lang w:eastAsia="zh-CN"/>
        </w:rPr>
        <w:t>相关</w:t>
      </w:r>
      <w:r>
        <w:rPr>
          <w:rFonts w:hint="eastAsia" w:ascii="仿宋" w:hAnsi="仿宋" w:eastAsia="仿宋" w:cs="仿宋"/>
          <w:color w:val="auto"/>
          <w:sz w:val="24"/>
          <w:highlight w:val="yellow"/>
        </w:rPr>
        <w:t>账户</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支持灵活</w:t>
      </w:r>
      <w:r>
        <w:rPr>
          <w:rFonts w:hint="eastAsia" w:ascii="仿宋" w:hAnsi="仿宋" w:eastAsia="仿宋" w:cs="仿宋"/>
          <w:color w:val="auto"/>
          <w:sz w:val="24"/>
          <w:highlight w:val="yellow"/>
          <w:lang w:eastAsia="zh-CN"/>
        </w:rPr>
        <w:t>、可视化</w:t>
      </w:r>
      <w:r>
        <w:rPr>
          <w:rFonts w:hint="eastAsia" w:ascii="仿宋" w:hAnsi="仿宋" w:eastAsia="仿宋" w:cs="仿宋"/>
          <w:color w:val="auto"/>
          <w:sz w:val="24"/>
          <w:highlight w:val="yellow"/>
        </w:rPr>
        <w:t>的清算模式，支持日终清算、日启清算、日间清算等，提供批量自动化清算流程，支持可重复执行，断点重跑</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清算通知提醒、清算配置</w:t>
      </w:r>
      <w:r>
        <w:rPr>
          <w:rFonts w:hint="eastAsia" w:ascii="仿宋" w:hAnsi="仿宋" w:eastAsia="仿宋" w:cs="仿宋"/>
          <w:color w:val="auto"/>
          <w:sz w:val="24"/>
          <w:highlight w:val="yellow"/>
          <w:lang w:eastAsia="zh-CN"/>
        </w:rPr>
        <w:t>等；支持提前一日对成立、清算及到期产品的状态、工作日确认日等所有会影响产品成立、到期清算的必要条件进行系统检查校验，并进行校验结果提醒；</w:t>
      </w:r>
    </w:p>
    <w:p>
      <w:pPr>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政策监管：支持监管机构要求的销售金额起点控制、私募产品购买人数控制、私募产品投资冷静期、业绩比较基准、合格投资者、非居民涉税及最新中登接口等适配，以及满足监管和法律法规等的相关要求</w:t>
      </w:r>
      <w:r>
        <w:rPr>
          <w:rFonts w:hint="eastAsia" w:ascii="仿宋" w:hAnsi="仿宋" w:eastAsia="仿宋" w:cs="仿宋"/>
          <w:color w:val="auto"/>
          <w:sz w:val="24"/>
          <w:highlight w:val="yellow"/>
          <w:lang w:eastAsia="zh-CN"/>
        </w:rPr>
        <w:t>；</w:t>
      </w:r>
    </w:p>
    <w:p>
      <w:pPr>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查询</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：提供产品信息</w:t>
      </w:r>
      <w:r>
        <w:rPr>
          <w:rFonts w:hint="eastAsia" w:ascii="仿宋" w:hAnsi="仿宋" w:eastAsia="仿宋" w:cs="仿宋"/>
          <w:color w:val="auto"/>
          <w:sz w:val="24"/>
          <w:highlight w:val="yellow"/>
          <w:lang w:eastAsia="zh-CN"/>
        </w:rPr>
        <w:t>查询、</w:t>
      </w:r>
      <w:r>
        <w:rPr>
          <w:rFonts w:hint="eastAsia" w:ascii="仿宋" w:hAnsi="仿宋" w:eastAsia="仿宋" w:cs="仿宋"/>
          <w:color w:val="auto"/>
          <w:sz w:val="24"/>
          <w:highlight w:val="yellow"/>
        </w:rPr>
        <w:t>在售产品信息查询、预售产品信息查询、资金兑付明细查询、资金归集明细查询、客户账户信息查询、对账单</w:t>
      </w:r>
      <w:r>
        <w:rPr>
          <w:rFonts w:hint="eastAsia" w:ascii="仿宋" w:hAnsi="仿宋" w:eastAsia="仿宋" w:cs="仿宋"/>
          <w:color w:val="auto"/>
          <w:sz w:val="24"/>
          <w:highlight w:val="yellow"/>
          <w:lang w:eastAsia="zh-CN"/>
        </w:rPr>
        <w:t>查询</w:t>
      </w:r>
      <w:r>
        <w:rPr>
          <w:rFonts w:hint="eastAsia" w:ascii="仿宋" w:hAnsi="仿宋" w:eastAsia="仿宋" w:cs="仿宋"/>
          <w:color w:val="auto"/>
          <w:sz w:val="24"/>
          <w:highlight w:val="yellow"/>
        </w:rPr>
        <w:t>打印、客户基础信息查询等查询</w:t>
      </w:r>
      <w:r>
        <w:rPr>
          <w:rFonts w:hint="eastAsia" w:ascii="仿宋" w:hAnsi="仿宋" w:eastAsia="仿宋" w:cs="仿宋"/>
          <w:color w:val="auto"/>
          <w:sz w:val="24"/>
          <w:highlight w:val="yellow"/>
          <w:lang w:eastAsia="zh-CN"/>
        </w:rPr>
        <w:t>；支持查询全量理财发生或存量等各维度自定义筛选查询；</w:t>
      </w:r>
    </w:p>
    <w:p>
      <w:pPr>
        <w:numPr>
          <w:ilvl w:val="0"/>
          <w:numId w:val="25"/>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报表统计与报送：支持监管数据的报送；</w:t>
      </w:r>
      <w:r>
        <w:rPr>
          <w:rFonts w:hint="eastAsia" w:ascii="仿宋" w:hAnsi="仿宋" w:eastAsia="仿宋" w:cs="仿宋"/>
          <w:color w:val="auto"/>
          <w:sz w:val="24"/>
          <w:highlight w:val="yellow"/>
          <w:lang w:eastAsia="zh-CN"/>
        </w:rPr>
        <w:t>支持机构、</w:t>
      </w:r>
      <w:r>
        <w:rPr>
          <w:rFonts w:hint="eastAsia" w:ascii="仿宋" w:hAnsi="仿宋" w:eastAsia="仿宋" w:cs="仿宋"/>
          <w:color w:val="auto"/>
          <w:sz w:val="24"/>
          <w:highlight w:val="yellow"/>
        </w:rPr>
        <w:t>客户经理业绩</w:t>
      </w:r>
      <w:r>
        <w:rPr>
          <w:rFonts w:hint="eastAsia" w:ascii="仿宋" w:hAnsi="仿宋" w:eastAsia="仿宋" w:cs="仿宋"/>
          <w:color w:val="auto"/>
          <w:sz w:val="24"/>
          <w:highlight w:val="yellow"/>
          <w:lang w:eastAsia="zh-CN"/>
        </w:rPr>
        <w:t>、中收、产品销量、产品存量（余额、日均）、产品级销售、资金轧差、客户数变动、签约、风险等级等统计，并包括汇总和明细查询导出；支持按业务要素统计存量、发生明细（需包含异常处理后的数据）并定期与账务自动核对校验确保数据的准确性；</w:t>
      </w:r>
    </w:p>
    <w:p>
      <w:pPr>
        <w:spacing w:line="360" w:lineRule="auto"/>
        <w:ind w:firstLine="480" w:firstLineChars="200"/>
        <w:jc w:val="left"/>
        <w:rPr>
          <w:rFonts w:hint="eastAsia" w:ascii="仿宋" w:hAnsi="仿宋" w:eastAsia="仿宋" w:cs="仿宋"/>
          <w:color w:val="auto"/>
          <w:sz w:val="24"/>
          <w:highlight w:val="yellow"/>
        </w:rPr>
      </w:pPr>
    </w:p>
    <w:p>
      <w:pPr>
        <w:spacing w:line="360" w:lineRule="auto"/>
        <w:ind w:firstLine="482" w:firstLineChars="200"/>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三、基金代销系统</w:t>
      </w:r>
    </w:p>
    <w:p>
      <w:pPr>
        <w:spacing w:line="360" w:lineRule="auto"/>
        <w:ind w:firstLine="480" w:firstLineChars="20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（一）基金代销系统</w:t>
      </w:r>
    </w:p>
    <w:p>
      <w:pPr>
        <w:spacing w:line="360" w:lineRule="auto"/>
        <w:ind w:firstLine="480" w:firstLineChars="20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支持基金产品代销，产品包括封闭式、开放式的所有产品类型，支持渠道包括但不限于柜面、个人手机银行、对公网银及对公手机银行</w:t>
      </w:r>
      <w:r>
        <w:rPr>
          <w:rFonts w:hint="eastAsia" w:ascii="仿宋" w:hAnsi="仿宋" w:eastAsia="仿宋" w:cs="仿宋"/>
          <w:color w:val="auto"/>
          <w:sz w:val="24"/>
          <w:highlight w:val="yellow"/>
        </w:rPr>
        <w:t>。</w:t>
      </w:r>
    </w:p>
    <w:p>
      <w:pPr>
        <w:numPr>
          <w:ilvl w:val="0"/>
          <w:numId w:val="26"/>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基金公司</w:t>
      </w:r>
      <w:r>
        <w:rPr>
          <w:rFonts w:hint="eastAsia" w:ascii="仿宋" w:hAnsi="仿宋" w:eastAsia="仿宋" w:cs="仿宋"/>
          <w:color w:val="auto"/>
          <w:sz w:val="24"/>
          <w:highlight w:val="yellow"/>
        </w:rPr>
        <w:t>管理：支持对接多个</w:t>
      </w:r>
      <w:r>
        <w:rPr>
          <w:rFonts w:hint="eastAsia" w:ascii="仿宋" w:hAnsi="仿宋" w:eastAsia="仿宋" w:cs="仿宋"/>
          <w:color w:val="auto"/>
          <w:sz w:val="24"/>
          <w:highlight w:val="yellow"/>
          <w:lang w:eastAsia="zh-CN"/>
        </w:rPr>
        <w:t>基金公司</w:t>
      </w:r>
      <w:r>
        <w:rPr>
          <w:rFonts w:hint="eastAsia" w:ascii="仿宋" w:hAnsi="仿宋" w:eastAsia="仿宋" w:cs="仿宋"/>
          <w:color w:val="auto"/>
          <w:sz w:val="24"/>
          <w:highlight w:val="yellow"/>
        </w:rPr>
        <w:t>，提供</w:t>
      </w:r>
      <w:r>
        <w:rPr>
          <w:rFonts w:hint="eastAsia" w:ascii="仿宋" w:hAnsi="仿宋" w:eastAsia="仿宋" w:cs="仿宋"/>
          <w:color w:val="auto"/>
          <w:sz w:val="24"/>
          <w:highlight w:val="yellow"/>
          <w:lang w:eastAsia="zh-CN"/>
        </w:rPr>
        <w:t>公司</w:t>
      </w:r>
      <w:r>
        <w:rPr>
          <w:rFonts w:hint="eastAsia" w:ascii="仿宋" w:hAnsi="仿宋" w:eastAsia="仿宋" w:cs="仿宋"/>
          <w:color w:val="auto"/>
          <w:sz w:val="24"/>
          <w:highlight w:val="yellow"/>
        </w:rPr>
        <w:t>准入管理、</w:t>
      </w:r>
      <w:r>
        <w:rPr>
          <w:rFonts w:hint="eastAsia" w:ascii="仿宋" w:hAnsi="仿宋" w:eastAsia="仿宋" w:cs="仿宋"/>
          <w:color w:val="auto"/>
          <w:sz w:val="24"/>
          <w:highlight w:val="yellow"/>
          <w:lang w:eastAsia="zh-CN"/>
        </w:rPr>
        <w:t>公司</w:t>
      </w:r>
      <w:r>
        <w:rPr>
          <w:rFonts w:hint="eastAsia" w:ascii="仿宋" w:hAnsi="仿宋" w:eastAsia="仿宋" w:cs="仿宋"/>
          <w:color w:val="auto"/>
          <w:sz w:val="24"/>
          <w:highlight w:val="yellow"/>
        </w:rPr>
        <w:t>费率、折扣的管理等</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完成</w:t>
      </w:r>
      <w:r>
        <w:rPr>
          <w:rFonts w:hint="eastAsia" w:ascii="仿宋" w:hAnsi="仿宋" w:eastAsia="仿宋" w:cs="仿宋"/>
          <w:color w:val="auto"/>
          <w:sz w:val="24"/>
          <w:highlight w:val="yellow"/>
          <w:lang w:eastAsia="zh-CN"/>
        </w:rPr>
        <w:t>至少</w:t>
      </w:r>
      <w:r>
        <w:rPr>
          <w:rFonts w:hint="eastAsia" w:ascii="仿宋" w:hAnsi="仿宋" w:eastAsia="仿宋" w:cs="仿宋"/>
          <w:color w:val="auto"/>
          <w:sz w:val="24"/>
          <w:highlight w:val="yellow"/>
          <w:lang w:val="en-US" w:eastAsia="zh-CN"/>
        </w:rPr>
        <w:t>10家</w:t>
      </w:r>
      <w:r>
        <w:rPr>
          <w:rFonts w:hint="eastAsia" w:ascii="仿宋" w:hAnsi="仿宋" w:eastAsia="仿宋" w:cs="仿宋"/>
          <w:color w:val="auto"/>
          <w:sz w:val="24"/>
          <w:highlight w:val="yellow"/>
          <w:lang w:eastAsia="zh-CN"/>
        </w:rPr>
        <w:t>基金公司</w:t>
      </w:r>
      <w:r>
        <w:rPr>
          <w:rFonts w:hint="eastAsia" w:ascii="仿宋" w:hAnsi="仿宋" w:eastAsia="仿宋" w:cs="仿宋"/>
          <w:color w:val="auto"/>
          <w:sz w:val="24"/>
          <w:highlight w:val="yellow"/>
        </w:rPr>
        <w:t>的接入</w:t>
      </w:r>
      <w:r>
        <w:rPr>
          <w:rFonts w:hint="eastAsia" w:ascii="仿宋" w:hAnsi="仿宋" w:eastAsia="仿宋" w:cs="仿宋"/>
          <w:color w:val="auto"/>
          <w:sz w:val="24"/>
          <w:highlight w:val="yellow"/>
          <w:lang w:eastAsia="zh-CN"/>
        </w:rPr>
        <w:t>；</w:t>
      </w:r>
    </w:p>
    <w:p>
      <w:pPr>
        <w:numPr>
          <w:ilvl w:val="0"/>
          <w:numId w:val="26"/>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客户管理：支持客户</w:t>
      </w:r>
      <w:r>
        <w:rPr>
          <w:rFonts w:hint="eastAsia" w:ascii="仿宋" w:hAnsi="仿宋" w:eastAsia="仿宋" w:cs="仿宋"/>
          <w:color w:val="auto"/>
          <w:sz w:val="24"/>
          <w:highlight w:val="yellow"/>
          <w:lang w:eastAsia="zh-CN"/>
        </w:rPr>
        <w:t>信息管理、</w:t>
      </w:r>
      <w:r>
        <w:rPr>
          <w:rFonts w:hint="eastAsia" w:ascii="仿宋" w:hAnsi="仿宋" w:eastAsia="仿宋" w:cs="仿宋"/>
          <w:color w:val="auto"/>
          <w:sz w:val="24"/>
          <w:highlight w:val="yellow"/>
        </w:rPr>
        <w:t>客户签约管理和客户风险评级管理</w:t>
      </w:r>
      <w:r>
        <w:rPr>
          <w:rFonts w:hint="eastAsia" w:ascii="仿宋" w:hAnsi="仿宋" w:eastAsia="仿宋" w:cs="仿宋"/>
          <w:color w:val="auto"/>
          <w:sz w:val="24"/>
          <w:highlight w:val="yellow"/>
          <w:lang w:eastAsia="zh-CN"/>
        </w:rPr>
        <w:t>等，支持</w:t>
      </w:r>
      <w:r>
        <w:rPr>
          <w:rFonts w:hint="eastAsia" w:ascii="仿宋" w:hAnsi="仿宋" w:eastAsia="仿宋" w:cs="仿宋"/>
          <w:color w:val="auto"/>
          <w:sz w:val="24"/>
          <w:highlight w:val="yellow"/>
        </w:rPr>
        <w:t>资金账户的签约/解约、基金账户的开销户等</w:t>
      </w:r>
      <w:r>
        <w:rPr>
          <w:rFonts w:hint="eastAsia" w:ascii="仿宋" w:hAnsi="仿宋" w:eastAsia="仿宋" w:cs="仿宋"/>
          <w:color w:val="auto"/>
          <w:sz w:val="24"/>
          <w:highlight w:val="yellow"/>
          <w:lang w:eastAsia="zh-CN"/>
        </w:rPr>
        <w:t>；</w:t>
      </w:r>
    </w:p>
    <w:p>
      <w:pPr>
        <w:numPr>
          <w:ilvl w:val="0"/>
          <w:numId w:val="26"/>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客户经理管理：支持对基金销售分支机构和销售人员的管理、</w:t>
      </w:r>
      <w:r>
        <w:rPr>
          <w:rFonts w:hint="eastAsia" w:ascii="仿宋" w:hAnsi="仿宋" w:eastAsia="仿宋" w:cs="仿宋"/>
          <w:color w:val="auto"/>
          <w:sz w:val="24"/>
          <w:highlight w:val="yellow"/>
          <w:lang w:eastAsia="zh-CN"/>
        </w:rPr>
        <w:t>业绩</w:t>
      </w:r>
      <w:r>
        <w:rPr>
          <w:rFonts w:hint="eastAsia" w:ascii="仿宋" w:hAnsi="仿宋" w:eastAsia="仿宋" w:cs="仿宋"/>
          <w:color w:val="auto"/>
          <w:sz w:val="24"/>
          <w:highlight w:val="yellow"/>
        </w:rPr>
        <w:t>、资质管理等功能</w:t>
      </w:r>
      <w:r>
        <w:rPr>
          <w:rFonts w:hint="eastAsia" w:ascii="仿宋" w:hAnsi="仿宋" w:eastAsia="仿宋" w:cs="仿宋"/>
          <w:color w:val="auto"/>
          <w:sz w:val="24"/>
          <w:highlight w:val="yellow"/>
          <w:lang w:eastAsia="zh-CN"/>
        </w:rPr>
        <w:t>；</w:t>
      </w:r>
    </w:p>
    <w:p>
      <w:pPr>
        <w:numPr>
          <w:ilvl w:val="0"/>
          <w:numId w:val="26"/>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产品管理：支持产品</w:t>
      </w:r>
      <w:r>
        <w:rPr>
          <w:rFonts w:hint="eastAsia" w:ascii="仿宋" w:hAnsi="仿宋" w:eastAsia="仿宋" w:cs="仿宋"/>
          <w:color w:val="auto"/>
          <w:sz w:val="24"/>
          <w:highlight w:val="yellow"/>
          <w:lang w:eastAsia="zh-CN"/>
        </w:rPr>
        <w:t>准入</w:t>
      </w:r>
      <w:r>
        <w:rPr>
          <w:rFonts w:hint="eastAsia" w:ascii="仿宋" w:hAnsi="仿宋" w:eastAsia="仿宋" w:cs="仿宋"/>
          <w:color w:val="auto"/>
          <w:sz w:val="24"/>
          <w:highlight w:val="yellow"/>
        </w:rPr>
        <w:t>管理</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产品参数管理、产品工作日、费率参数、折扣优惠参数</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等</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w:t>
      </w:r>
      <w:r>
        <w:rPr>
          <w:rFonts w:hint="eastAsia" w:ascii="仿宋" w:hAnsi="仿宋" w:eastAsia="仿宋" w:cs="仿宋"/>
          <w:color w:val="auto"/>
          <w:sz w:val="24"/>
          <w:highlight w:val="yellow"/>
          <w:lang w:eastAsia="zh-CN"/>
        </w:rPr>
        <w:t>产品</w:t>
      </w:r>
      <w:r>
        <w:rPr>
          <w:rFonts w:hint="eastAsia" w:ascii="仿宋" w:hAnsi="仿宋" w:eastAsia="仿宋" w:cs="仿宋"/>
          <w:color w:val="auto"/>
          <w:sz w:val="24"/>
          <w:highlight w:val="yellow"/>
        </w:rPr>
        <w:t>标签规则管理，</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自动</w:t>
      </w:r>
      <w:r>
        <w:rPr>
          <w:rFonts w:hint="eastAsia" w:ascii="仿宋" w:hAnsi="仿宋" w:eastAsia="仿宋" w:cs="仿宋"/>
          <w:color w:val="auto"/>
          <w:sz w:val="24"/>
          <w:highlight w:val="yellow"/>
          <w:lang w:eastAsia="zh-CN"/>
        </w:rPr>
        <w:t>生成</w:t>
      </w:r>
      <w:r>
        <w:rPr>
          <w:rFonts w:hint="eastAsia" w:ascii="仿宋" w:hAnsi="仿宋" w:eastAsia="仿宋" w:cs="仿宋"/>
          <w:color w:val="auto"/>
          <w:sz w:val="24"/>
          <w:highlight w:val="yellow"/>
        </w:rPr>
        <w:t>标签</w:t>
      </w:r>
      <w:r>
        <w:rPr>
          <w:rFonts w:hint="eastAsia" w:ascii="仿宋" w:hAnsi="仿宋" w:eastAsia="仿宋" w:cs="仿宋"/>
          <w:color w:val="auto"/>
          <w:sz w:val="24"/>
          <w:highlight w:val="yellow"/>
          <w:lang w:eastAsia="zh-CN"/>
        </w:rPr>
        <w:t>及</w:t>
      </w:r>
      <w:r>
        <w:rPr>
          <w:rFonts w:hint="eastAsia" w:ascii="仿宋" w:hAnsi="仿宋" w:eastAsia="仿宋" w:cs="仿宋"/>
          <w:color w:val="auto"/>
          <w:sz w:val="24"/>
          <w:highlight w:val="yellow"/>
        </w:rPr>
        <w:t>手工</w:t>
      </w:r>
      <w:r>
        <w:rPr>
          <w:rFonts w:hint="eastAsia" w:ascii="仿宋" w:hAnsi="仿宋" w:eastAsia="仿宋" w:cs="仿宋"/>
          <w:color w:val="auto"/>
          <w:sz w:val="24"/>
          <w:highlight w:val="yellow"/>
          <w:lang w:eastAsia="zh-CN"/>
        </w:rPr>
        <w:t>设置标签；支持产品公告、资讯、</w:t>
      </w:r>
      <w:r>
        <w:rPr>
          <w:rFonts w:hint="eastAsia" w:ascii="仿宋" w:hAnsi="仿宋" w:eastAsia="仿宋" w:cs="仿宋"/>
          <w:color w:val="auto"/>
          <w:sz w:val="24"/>
          <w:highlight w:val="yellow"/>
        </w:rPr>
        <w:t>信披文件</w:t>
      </w:r>
      <w:r>
        <w:rPr>
          <w:rFonts w:hint="eastAsia" w:ascii="仿宋" w:hAnsi="仿宋" w:eastAsia="仿宋" w:cs="仿宋"/>
          <w:color w:val="auto"/>
          <w:sz w:val="24"/>
          <w:highlight w:val="yellow"/>
          <w:lang w:eastAsia="zh-CN"/>
        </w:rPr>
        <w:t>等销售文件</w:t>
      </w:r>
      <w:r>
        <w:rPr>
          <w:rFonts w:hint="eastAsia" w:ascii="仿宋" w:hAnsi="仿宋" w:eastAsia="仿宋" w:cs="仿宋"/>
          <w:color w:val="auto"/>
          <w:sz w:val="24"/>
          <w:highlight w:val="yellow"/>
        </w:rPr>
        <w:t>推送</w:t>
      </w:r>
      <w:r>
        <w:rPr>
          <w:rFonts w:hint="eastAsia" w:ascii="仿宋" w:hAnsi="仿宋" w:eastAsia="仿宋" w:cs="仿宋"/>
          <w:color w:val="auto"/>
          <w:sz w:val="24"/>
          <w:highlight w:val="yellow"/>
          <w:lang w:eastAsia="zh-CN"/>
        </w:rPr>
        <w:t>；</w:t>
      </w:r>
    </w:p>
    <w:p>
      <w:pPr>
        <w:numPr>
          <w:ilvl w:val="0"/>
          <w:numId w:val="26"/>
        </w:numPr>
        <w:spacing w:line="360" w:lineRule="auto"/>
        <w:ind w:firstLineChars="0"/>
        <w:jc w:val="both"/>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销售</w:t>
      </w:r>
      <w:r>
        <w:rPr>
          <w:rFonts w:hint="eastAsia" w:ascii="仿宋" w:hAnsi="仿宋" w:eastAsia="仿宋" w:cs="仿宋"/>
          <w:color w:val="auto"/>
          <w:sz w:val="24"/>
          <w:highlight w:val="yellow"/>
        </w:rPr>
        <w:t>管理：支持各类基金认购、申购、赎回、基金转换、非交易过户、转托管、定投、变更分红方式、撤单等</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委托协议管理、风险管理、资金处理、额度管理、销售适用性、销售区域管理、基金净值及收益信息等功能</w:t>
      </w:r>
      <w:r>
        <w:rPr>
          <w:rFonts w:hint="eastAsia" w:ascii="仿宋" w:hAnsi="仿宋" w:eastAsia="仿宋" w:cs="仿宋"/>
          <w:color w:val="auto"/>
          <w:sz w:val="24"/>
          <w:highlight w:val="yellow"/>
          <w:lang w:eastAsia="zh-CN"/>
        </w:rPr>
        <w:t>；</w:t>
      </w:r>
    </w:p>
    <w:p>
      <w:pPr>
        <w:numPr>
          <w:ilvl w:val="0"/>
          <w:numId w:val="26"/>
        </w:numPr>
        <w:spacing w:line="360" w:lineRule="auto"/>
        <w:ind w:firstLineChars="0"/>
        <w:jc w:val="both"/>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客户账单：支持客户账单</w:t>
      </w:r>
      <w:r>
        <w:rPr>
          <w:rFonts w:hint="eastAsia" w:ascii="仿宋" w:hAnsi="仿宋" w:eastAsia="仿宋" w:cs="仿宋"/>
          <w:color w:val="auto"/>
          <w:sz w:val="24"/>
          <w:highlight w:val="yellow"/>
          <w:lang w:eastAsia="zh-CN"/>
        </w:rPr>
        <w:t>、保有情况信息等定期自动</w:t>
      </w:r>
      <w:r>
        <w:rPr>
          <w:rFonts w:hint="eastAsia" w:ascii="仿宋" w:hAnsi="仿宋" w:eastAsia="仿宋" w:cs="仿宋"/>
          <w:color w:val="auto"/>
          <w:sz w:val="24"/>
          <w:highlight w:val="yellow"/>
        </w:rPr>
        <w:t>生成并推送至微信、</w:t>
      </w:r>
      <w:r>
        <w:rPr>
          <w:rFonts w:hint="eastAsia" w:ascii="仿宋" w:hAnsi="仿宋" w:eastAsia="仿宋" w:cs="仿宋"/>
          <w:color w:val="auto"/>
          <w:sz w:val="24"/>
          <w:highlight w:val="yellow"/>
          <w:lang w:eastAsia="zh-CN"/>
        </w:rPr>
        <w:t>短信、</w:t>
      </w:r>
      <w:r>
        <w:rPr>
          <w:rFonts w:hint="eastAsia" w:ascii="仿宋" w:hAnsi="仿宋" w:eastAsia="仿宋" w:cs="仿宋"/>
          <w:color w:val="auto"/>
          <w:sz w:val="24"/>
          <w:highlight w:val="yellow"/>
        </w:rPr>
        <w:t>手机银行等</w:t>
      </w:r>
      <w:r>
        <w:rPr>
          <w:rFonts w:hint="eastAsia" w:ascii="仿宋" w:hAnsi="仿宋" w:eastAsia="仿宋" w:cs="仿宋"/>
          <w:color w:val="auto"/>
          <w:sz w:val="24"/>
          <w:highlight w:val="yellow"/>
          <w:lang w:eastAsia="zh-CN"/>
        </w:rPr>
        <w:t>相关</w:t>
      </w:r>
      <w:r>
        <w:rPr>
          <w:rFonts w:hint="eastAsia" w:ascii="仿宋" w:hAnsi="仿宋" w:eastAsia="仿宋" w:cs="仿宋"/>
          <w:color w:val="auto"/>
          <w:sz w:val="24"/>
          <w:highlight w:val="yellow"/>
        </w:rPr>
        <w:t>渠道</w:t>
      </w:r>
      <w:r>
        <w:rPr>
          <w:rFonts w:hint="eastAsia" w:ascii="仿宋" w:hAnsi="仿宋" w:eastAsia="仿宋" w:cs="仿宋"/>
          <w:color w:val="auto"/>
          <w:sz w:val="24"/>
          <w:highlight w:val="yellow"/>
          <w:lang w:eastAsia="zh-CN"/>
        </w:rPr>
        <w:t>，并支持打印；</w:t>
      </w:r>
    </w:p>
    <w:p>
      <w:pPr>
        <w:numPr>
          <w:ilvl w:val="0"/>
          <w:numId w:val="26"/>
        </w:numPr>
        <w:spacing w:line="360" w:lineRule="auto"/>
        <w:ind w:firstLineChars="0"/>
        <w:jc w:val="both"/>
        <w:rPr>
          <w:rFonts w:hint="eastAsia" w:ascii="仿宋" w:hAnsi="仿宋" w:eastAsia="仿宋" w:cs="仿宋"/>
          <w:color w:val="auto"/>
          <w:sz w:val="24"/>
          <w:highlight w:val="yellow"/>
        </w:rPr>
      </w:pPr>
      <w:r>
        <w:rPr>
          <w:rFonts w:hint="eastAsia" w:ascii="仿宋" w:hAnsi="仿宋" w:eastAsia="仿宋" w:cs="仿宋"/>
          <w:color w:val="auto"/>
          <w:sz w:val="24"/>
          <w:highlight w:val="yellow"/>
        </w:rPr>
        <w:t>对账</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：支持销售数据、核心账务、客户份额等</w:t>
      </w:r>
      <w:r>
        <w:rPr>
          <w:rFonts w:hint="eastAsia" w:ascii="仿宋" w:hAnsi="仿宋" w:eastAsia="仿宋" w:cs="仿宋"/>
          <w:color w:val="auto"/>
          <w:sz w:val="24"/>
          <w:highlight w:val="yellow"/>
          <w:lang w:eastAsia="zh-CN"/>
        </w:rPr>
        <w:t>的</w:t>
      </w:r>
      <w:r>
        <w:rPr>
          <w:rFonts w:hint="eastAsia" w:ascii="仿宋" w:hAnsi="仿宋" w:eastAsia="仿宋" w:cs="仿宋"/>
          <w:color w:val="auto"/>
          <w:sz w:val="24"/>
          <w:highlight w:val="yellow"/>
        </w:rPr>
        <w:t>对账及检查，以及差错处理</w:t>
      </w:r>
      <w:r>
        <w:rPr>
          <w:rFonts w:hint="eastAsia" w:ascii="仿宋" w:hAnsi="仿宋" w:eastAsia="仿宋" w:cs="仿宋"/>
          <w:color w:val="auto"/>
          <w:sz w:val="24"/>
          <w:highlight w:val="yellow"/>
          <w:lang w:eastAsia="zh-CN"/>
        </w:rPr>
        <w:t>、对账通知提醒等</w:t>
      </w:r>
      <w:r>
        <w:rPr>
          <w:rFonts w:hint="eastAsia" w:ascii="仿宋" w:hAnsi="仿宋" w:eastAsia="仿宋" w:cs="仿宋"/>
          <w:color w:val="auto"/>
          <w:sz w:val="24"/>
          <w:highlight w:val="yellow"/>
        </w:rPr>
        <w:t>；</w:t>
      </w:r>
    </w:p>
    <w:p>
      <w:pPr>
        <w:numPr>
          <w:ilvl w:val="0"/>
          <w:numId w:val="26"/>
        </w:numPr>
        <w:spacing w:line="360" w:lineRule="auto"/>
        <w:ind w:left="0" w:leftChars="0" w:firstLine="400" w:firstLineChars="0"/>
        <w:jc w:val="both"/>
        <w:rPr>
          <w:rFonts w:hint="eastAsia" w:ascii="仿宋" w:hAnsi="仿宋" w:eastAsia="仿宋" w:cs="仿宋"/>
          <w:color w:val="auto"/>
          <w:sz w:val="24"/>
          <w:highlight w:val="yellow"/>
        </w:rPr>
      </w:pPr>
      <w:r>
        <w:rPr>
          <w:rFonts w:hint="eastAsia" w:ascii="仿宋" w:hAnsi="仿宋" w:eastAsia="仿宋" w:cs="仿宋"/>
          <w:color w:val="auto"/>
          <w:sz w:val="24"/>
          <w:highlight w:val="yellow"/>
        </w:rPr>
        <w:t>清算管理：支持产品日启/日终清算、自动化清算、清算通知提醒、清算配置</w:t>
      </w:r>
      <w:r>
        <w:rPr>
          <w:rFonts w:hint="eastAsia" w:ascii="仿宋" w:hAnsi="仿宋" w:eastAsia="仿宋" w:cs="仿宋"/>
          <w:color w:val="auto"/>
          <w:sz w:val="24"/>
          <w:highlight w:val="yellow"/>
          <w:lang w:eastAsia="zh-CN"/>
        </w:rPr>
        <w:t>等</w:t>
      </w:r>
      <w:r>
        <w:rPr>
          <w:rFonts w:hint="eastAsia" w:ascii="仿宋" w:hAnsi="仿宋" w:eastAsia="仿宋" w:cs="仿宋"/>
          <w:color w:val="auto"/>
          <w:sz w:val="24"/>
          <w:highlight w:val="yellow"/>
        </w:rPr>
        <w:t>，并根据产品的确认清算进行资金的清算，以及清算异常的补处理操作</w:t>
      </w:r>
      <w:r>
        <w:rPr>
          <w:rFonts w:hint="eastAsia" w:ascii="仿宋" w:hAnsi="仿宋" w:eastAsia="仿宋" w:cs="仿宋"/>
          <w:color w:val="auto"/>
          <w:sz w:val="24"/>
          <w:highlight w:val="yellow"/>
          <w:lang w:eastAsia="zh-CN"/>
        </w:rPr>
        <w:t>；</w:t>
      </w:r>
    </w:p>
    <w:p>
      <w:pPr>
        <w:numPr>
          <w:ilvl w:val="0"/>
          <w:numId w:val="26"/>
        </w:numPr>
        <w:spacing w:line="360" w:lineRule="auto"/>
        <w:ind w:left="0" w:leftChars="0" w:firstLine="400" w:firstLineChars="0"/>
        <w:jc w:val="both"/>
        <w:rPr>
          <w:rFonts w:hint="eastAsia" w:ascii="仿宋" w:hAnsi="仿宋" w:eastAsia="仿宋" w:cs="仿宋"/>
          <w:color w:val="auto"/>
          <w:sz w:val="24"/>
          <w:highlight w:val="yellow"/>
        </w:rPr>
      </w:pPr>
      <w:r>
        <w:rPr>
          <w:rFonts w:hint="eastAsia" w:ascii="仿宋" w:hAnsi="仿宋" w:eastAsia="仿宋" w:cs="仿宋"/>
          <w:color w:val="auto"/>
          <w:sz w:val="24"/>
          <w:highlight w:val="yellow"/>
        </w:rPr>
        <w:t>查询统计：提供产品信息</w:t>
      </w:r>
      <w:r>
        <w:rPr>
          <w:rFonts w:hint="eastAsia" w:ascii="仿宋" w:hAnsi="仿宋" w:eastAsia="仿宋" w:cs="仿宋"/>
          <w:color w:val="auto"/>
          <w:sz w:val="24"/>
          <w:highlight w:val="yellow"/>
          <w:lang w:eastAsia="zh-CN"/>
        </w:rPr>
        <w:t>查询</w:t>
      </w:r>
      <w:r>
        <w:rPr>
          <w:rFonts w:hint="eastAsia" w:ascii="仿宋" w:hAnsi="仿宋" w:eastAsia="仿宋" w:cs="仿宋"/>
          <w:color w:val="auto"/>
          <w:sz w:val="24"/>
          <w:highlight w:val="yellow"/>
        </w:rPr>
        <w:t>、客户账户信息查询、客户基础信息查询等</w:t>
      </w:r>
      <w:r>
        <w:rPr>
          <w:rFonts w:hint="eastAsia" w:ascii="仿宋" w:hAnsi="仿宋" w:eastAsia="仿宋" w:cs="仿宋"/>
          <w:color w:val="auto"/>
          <w:sz w:val="24"/>
          <w:highlight w:val="yellow"/>
          <w:lang w:eastAsia="zh-CN"/>
        </w:rPr>
        <w:t>多维度</w:t>
      </w:r>
      <w:r>
        <w:rPr>
          <w:rFonts w:hint="eastAsia" w:ascii="仿宋" w:hAnsi="仿宋" w:eastAsia="仿宋" w:cs="仿宋"/>
          <w:color w:val="auto"/>
          <w:sz w:val="24"/>
          <w:highlight w:val="yellow"/>
        </w:rPr>
        <w:t>查询</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基金交易</w:t>
      </w:r>
      <w:r>
        <w:rPr>
          <w:rFonts w:hint="eastAsia" w:ascii="仿宋" w:hAnsi="仿宋" w:eastAsia="仿宋" w:cs="仿宋"/>
          <w:color w:val="auto"/>
          <w:sz w:val="24"/>
          <w:highlight w:val="yellow"/>
          <w:lang w:eastAsia="zh-CN"/>
        </w:rPr>
        <w:t>情况统计、机构及客户经理销售、保有情况统计等，支持</w:t>
      </w:r>
      <w:r>
        <w:rPr>
          <w:rFonts w:hint="eastAsia" w:ascii="仿宋" w:hAnsi="仿宋" w:eastAsia="仿宋" w:cs="仿宋"/>
          <w:color w:val="auto"/>
          <w:sz w:val="24"/>
          <w:highlight w:val="yellow"/>
        </w:rPr>
        <w:t>监管部门的监管报表报送等</w:t>
      </w:r>
      <w:r>
        <w:rPr>
          <w:rFonts w:hint="eastAsia" w:ascii="仿宋" w:hAnsi="仿宋" w:eastAsia="仿宋" w:cs="仿宋"/>
          <w:color w:val="auto"/>
          <w:sz w:val="24"/>
          <w:highlight w:val="yellow"/>
          <w:lang w:eastAsia="zh-CN"/>
        </w:rPr>
        <w:t>；</w:t>
      </w:r>
    </w:p>
    <w:p>
      <w:pPr>
        <w:numPr>
          <w:ilvl w:val="0"/>
          <w:numId w:val="26"/>
        </w:numPr>
        <w:spacing w:line="360" w:lineRule="auto"/>
        <w:ind w:left="0" w:leftChars="0" w:firstLine="400" w:firstLineChars="0"/>
        <w:jc w:val="both"/>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信息数据落地：</w:t>
      </w:r>
      <w:r>
        <w:rPr>
          <w:rFonts w:hint="eastAsia" w:ascii="仿宋" w:hAnsi="仿宋" w:eastAsia="仿宋" w:cs="仿宋"/>
          <w:color w:val="auto"/>
          <w:sz w:val="24"/>
          <w:highlight w:val="yellow"/>
        </w:rPr>
        <w:t>支持对接外部基金数据供应商进行</w:t>
      </w:r>
      <w:r>
        <w:rPr>
          <w:rFonts w:hint="eastAsia" w:ascii="仿宋" w:hAnsi="仿宋" w:eastAsia="仿宋" w:cs="仿宋"/>
          <w:color w:val="auto"/>
          <w:sz w:val="24"/>
          <w:highlight w:val="yellow"/>
          <w:lang w:eastAsia="zh-CN"/>
        </w:rPr>
        <w:t>资讯及</w:t>
      </w:r>
      <w:r>
        <w:rPr>
          <w:rFonts w:hint="eastAsia" w:ascii="仿宋" w:hAnsi="仿宋" w:eastAsia="仿宋" w:cs="仿宋"/>
          <w:color w:val="auto"/>
          <w:sz w:val="24"/>
          <w:highlight w:val="yellow"/>
        </w:rPr>
        <w:t>信息数据落地</w:t>
      </w:r>
      <w:r>
        <w:rPr>
          <w:rFonts w:hint="eastAsia" w:ascii="仿宋" w:hAnsi="仿宋" w:eastAsia="仿宋" w:cs="仿宋"/>
          <w:color w:val="auto"/>
          <w:sz w:val="24"/>
          <w:highlight w:val="yellow"/>
          <w:lang w:eastAsia="zh-CN"/>
        </w:rPr>
        <w:t>，完成</w:t>
      </w:r>
      <w:r>
        <w:rPr>
          <w:rFonts w:hint="eastAsia" w:ascii="仿宋" w:hAnsi="仿宋" w:eastAsia="仿宋" w:cs="仿宋"/>
          <w:color w:val="auto"/>
          <w:sz w:val="24"/>
          <w:highlight w:val="yellow"/>
        </w:rPr>
        <w:t>数据清洗并传送至</w:t>
      </w:r>
      <w:r>
        <w:rPr>
          <w:rFonts w:hint="eastAsia" w:ascii="仿宋" w:hAnsi="仿宋" w:eastAsia="仿宋" w:cs="仿宋"/>
          <w:color w:val="auto"/>
          <w:sz w:val="24"/>
          <w:highlight w:val="yellow"/>
          <w:lang w:eastAsia="zh-CN"/>
        </w:rPr>
        <w:t>前端</w:t>
      </w:r>
      <w:r>
        <w:rPr>
          <w:rFonts w:hint="eastAsia" w:ascii="仿宋" w:hAnsi="仿宋" w:eastAsia="仿宋" w:cs="仿宋"/>
          <w:color w:val="auto"/>
          <w:sz w:val="24"/>
          <w:highlight w:val="yellow"/>
        </w:rPr>
        <w:t>渠道；</w:t>
      </w:r>
      <w:r>
        <w:rPr>
          <w:rFonts w:hint="eastAsia" w:ascii="仿宋" w:hAnsi="仿宋" w:eastAsia="仿宋" w:cs="仿宋"/>
          <w:color w:val="auto"/>
          <w:sz w:val="24"/>
          <w:highlight w:val="yellow"/>
          <w:lang w:eastAsia="zh-CN"/>
        </w:rPr>
        <w:t>数据范围</w:t>
      </w:r>
      <w:r>
        <w:rPr>
          <w:rFonts w:hint="eastAsia" w:ascii="仿宋" w:hAnsi="仿宋" w:eastAsia="仿宋" w:cs="仿宋"/>
          <w:color w:val="auto"/>
          <w:sz w:val="24"/>
          <w:highlight w:val="yellow"/>
        </w:rPr>
        <w:t>包括</w:t>
      </w:r>
      <w:r>
        <w:rPr>
          <w:rFonts w:hint="eastAsia" w:ascii="仿宋" w:hAnsi="仿宋" w:eastAsia="仿宋" w:cs="仿宋"/>
          <w:color w:val="auto"/>
          <w:sz w:val="24"/>
          <w:highlight w:val="yellow"/>
          <w:lang w:eastAsia="zh-CN"/>
        </w:rPr>
        <w:t>但不限于</w:t>
      </w:r>
      <w:r>
        <w:rPr>
          <w:rFonts w:hint="eastAsia" w:ascii="仿宋" w:hAnsi="仿宋" w:eastAsia="仿宋" w:cs="仿宋"/>
          <w:color w:val="auto"/>
          <w:sz w:val="24"/>
          <w:highlight w:val="yellow"/>
        </w:rPr>
        <w:t>收益情况、风险评级、同类排名、基金比较</w:t>
      </w:r>
      <w:r>
        <w:rPr>
          <w:rFonts w:hint="eastAsia" w:ascii="仿宋" w:hAnsi="仿宋" w:eastAsia="仿宋" w:cs="仿宋"/>
          <w:color w:val="auto"/>
          <w:sz w:val="24"/>
          <w:highlight w:val="yellow"/>
          <w:lang w:eastAsia="zh-CN"/>
        </w:rPr>
        <w:t>、基金经理情况</w:t>
      </w:r>
      <w:r>
        <w:rPr>
          <w:rFonts w:hint="eastAsia" w:ascii="仿宋" w:hAnsi="仿宋" w:eastAsia="仿宋" w:cs="仿宋"/>
          <w:color w:val="auto"/>
          <w:sz w:val="24"/>
          <w:highlight w:val="yellow"/>
        </w:rPr>
        <w:t>等；</w:t>
      </w:r>
    </w:p>
    <w:p>
      <w:pPr>
        <w:numPr>
          <w:ilvl w:val="0"/>
          <w:numId w:val="26"/>
        </w:numPr>
        <w:spacing w:line="360" w:lineRule="auto"/>
        <w:ind w:left="0" w:leftChars="0" w:firstLine="400" w:firstLineChars="0"/>
        <w:jc w:val="both"/>
        <w:rPr>
          <w:rFonts w:hint="eastAsia" w:ascii="仿宋" w:hAnsi="仿宋" w:eastAsia="仿宋" w:cs="仿宋"/>
          <w:color w:val="auto"/>
          <w:sz w:val="24"/>
          <w:highlight w:val="yellow"/>
        </w:rPr>
      </w:pPr>
      <w:r>
        <w:rPr>
          <w:rFonts w:hint="eastAsia" w:ascii="仿宋" w:hAnsi="仿宋" w:eastAsia="仿宋" w:cs="仿宋"/>
          <w:color w:val="auto"/>
          <w:sz w:val="24"/>
          <w:highlight w:val="yellow"/>
        </w:rPr>
        <w:t>政策监管</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满足监管政策</w:t>
      </w:r>
      <w:r>
        <w:rPr>
          <w:rFonts w:hint="eastAsia" w:ascii="仿宋" w:hAnsi="仿宋" w:eastAsia="仿宋" w:cs="仿宋"/>
          <w:color w:val="auto"/>
          <w:sz w:val="24"/>
          <w:highlight w:val="yellow"/>
          <w:lang w:eastAsia="zh-CN"/>
        </w:rPr>
        <w:t>所有要求，包括但不限于反洗钱、客户适当性管理等。</w:t>
      </w:r>
    </w:p>
    <w:p>
      <w:pPr>
        <w:autoSpaceDE w:val="0"/>
        <w:autoSpaceDN w:val="0"/>
        <w:adjustRightInd w:val="0"/>
        <w:spacing w:line="360" w:lineRule="auto"/>
        <w:ind w:right="210" w:firstLine="420"/>
        <w:rPr>
          <w:rFonts w:hint="eastAsia" w:ascii="仿宋" w:hAnsi="仿宋" w:eastAsia="仿宋" w:cs="仿宋"/>
          <w:color w:val="auto"/>
          <w:sz w:val="24"/>
          <w:highlight w:val="yellow"/>
        </w:rPr>
      </w:pPr>
      <w:r>
        <w:rPr>
          <w:rFonts w:hint="eastAsia" w:ascii="仿宋" w:hAnsi="仿宋" w:eastAsia="仿宋" w:cs="仿宋"/>
          <w:color w:val="auto"/>
          <w:sz w:val="24"/>
          <w:highlight w:val="yellow"/>
        </w:rPr>
        <w:t>（二）公募投顾：引入外部投顾服务，借助外部专业的投顾机构为客户提供公募基金投资组合策略建议</w:t>
      </w:r>
      <w:r>
        <w:rPr>
          <w:rFonts w:hint="eastAsia" w:ascii="仿宋" w:hAnsi="仿宋" w:eastAsia="仿宋" w:cs="仿宋"/>
          <w:color w:val="auto"/>
          <w:sz w:val="24"/>
          <w:highlight w:val="yellow"/>
          <w:lang w:eastAsia="zh-CN"/>
        </w:rPr>
        <w:t>；支持渠道包括但不限于柜面、个人手机银行、对公网银及对公手机银行；</w:t>
      </w:r>
    </w:p>
    <w:p>
      <w:pPr>
        <w:numPr>
          <w:ilvl w:val="0"/>
          <w:numId w:val="27"/>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客户管理：</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客户基本信息、</w:t>
      </w:r>
      <w:r>
        <w:rPr>
          <w:rFonts w:hint="eastAsia" w:ascii="仿宋" w:hAnsi="仿宋" w:eastAsia="仿宋" w:cs="仿宋"/>
          <w:color w:val="auto"/>
          <w:sz w:val="24"/>
          <w:highlight w:val="yellow"/>
          <w:lang w:eastAsia="zh-CN"/>
        </w:rPr>
        <w:t>客户签约管理、</w:t>
      </w:r>
      <w:r>
        <w:rPr>
          <w:rFonts w:hint="eastAsia" w:ascii="仿宋" w:hAnsi="仿宋" w:eastAsia="仿宋" w:cs="仿宋"/>
          <w:color w:val="auto"/>
          <w:sz w:val="24"/>
          <w:highlight w:val="yellow"/>
        </w:rPr>
        <w:t>风险承受能力、客户准入等</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，同时</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客户投顾组合资产</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交易</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账户</w:t>
      </w:r>
      <w:r>
        <w:rPr>
          <w:rFonts w:hint="eastAsia" w:ascii="仿宋" w:hAnsi="仿宋" w:eastAsia="仿宋" w:cs="仿宋"/>
          <w:color w:val="auto"/>
          <w:sz w:val="24"/>
          <w:highlight w:val="yellow"/>
          <w:lang w:eastAsia="zh-CN"/>
        </w:rPr>
        <w:t>等</w:t>
      </w:r>
      <w:r>
        <w:rPr>
          <w:rFonts w:hint="eastAsia" w:ascii="仿宋" w:hAnsi="仿宋" w:eastAsia="仿宋" w:cs="仿宋"/>
          <w:color w:val="auto"/>
          <w:sz w:val="24"/>
          <w:highlight w:val="yellow"/>
        </w:rPr>
        <w:t>对账单数据，通过短信、微信</w:t>
      </w:r>
      <w:r>
        <w:rPr>
          <w:rFonts w:hint="eastAsia" w:ascii="仿宋" w:hAnsi="仿宋" w:eastAsia="仿宋" w:cs="仿宋"/>
          <w:color w:val="auto"/>
          <w:sz w:val="24"/>
          <w:highlight w:val="yellow"/>
          <w:lang w:eastAsia="zh-CN"/>
        </w:rPr>
        <w:t>、手机银行</w:t>
      </w:r>
      <w:r>
        <w:rPr>
          <w:rFonts w:hint="eastAsia" w:ascii="仿宋" w:hAnsi="仿宋" w:eastAsia="仿宋" w:cs="仿宋"/>
          <w:color w:val="auto"/>
          <w:sz w:val="24"/>
          <w:highlight w:val="yellow"/>
        </w:rPr>
        <w:t>等形式提供给客户</w:t>
      </w:r>
      <w:r>
        <w:rPr>
          <w:rFonts w:hint="eastAsia" w:ascii="仿宋" w:hAnsi="仿宋" w:eastAsia="仿宋" w:cs="仿宋"/>
          <w:color w:val="auto"/>
          <w:sz w:val="24"/>
          <w:highlight w:val="yellow"/>
          <w:lang w:eastAsia="zh-CN"/>
        </w:rPr>
        <w:t>；</w:t>
      </w:r>
    </w:p>
    <w:p>
      <w:pPr>
        <w:numPr>
          <w:ilvl w:val="0"/>
          <w:numId w:val="27"/>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账户管理：</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投顾账户</w:t>
      </w:r>
      <w:r>
        <w:rPr>
          <w:rFonts w:hint="eastAsia" w:ascii="仿宋" w:hAnsi="仿宋" w:eastAsia="仿宋" w:cs="仿宋"/>
          <w:color w:val="auto"/>
          <w:sz w:val="24"/>
          <w:highlight w:val="yellow"/>
          <w:lang w:eastAsia="zh-CN"/>
        </w:rPr>
        <w:t>管理，以及</w:t>
      </w:r>
      <w:r>
        <w:rPr>
          <w:rFonts w:hint="eastAsia" w:ascii="仿宋" w:hAnsi="仿宋" w:eastAsia="仿宋" w:cs="仿宋"/>
          <w:color w:val="auto"/>
          <w:sz w:val="24"/>
          <w:highlight w:val="yellow"/>
        </w:rPr>
        <w:t>账户的服务费计提及收取等</w:t>
      </w:r>
      <w:r>
        <w:rPr>
          <w:rFonts w:hint="eastAsia" w:ascii="仿宋" w:hAnsi="仿宋" w:eastAsia="仿宋" w:cs="仿宋"/>
          <w:color w:val="auto"/>
          <w:sz w:val="24"/>
          <w:highlight w:val="yellow"/>
          <w:lang w:eastAsia="zh-CN"/>
        </w:rPr>
        <w:t>；</w:t>
      </w:r>
    </w:p>
    <w:p>
      <w:pPr>
        <w:numPr>
          <w:ilvl w:val="0"/>
          <w:numId w:val="27"/>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策略管理：提供组合相关参数维护，包括投顾策略方案、产品池、交易状态</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服务费折扣率等</w:t>
      </w:r>
      <w:r>
        <w:rPr>
          <w:rFonts w:hint="eastAsia" w:ascii="仿宋" w:hAnsi="仿宋" w:eastAsia="仿宋" w:cs="仿宋"/>
          <w:color w:val="auto"/>
          <w:sz w:val="24"/>
          <w:highlight w:val="yellow"/>
          <w:lang w:eastAsia="zh-CN"/>
        </w:rPr>
        <w:t>多维度策略及</w:t>
      </w:r>
      <w:r>
        <w:rPr>
          <w:rFonts w:hint="eastAsia" w:ascii="仿宋" w:hAnsi="仿宋" w:eastAsia="仿宋" w:cs="仿宋"/>
          <w:color w:val="auto"/>
          <w:sz w:val="24"/>
          <w:highlight w:val="yellow"/>
        </w:rPr>
        <w:t>信息</w:t>
      </w:r>
      <w:r>
        <w:rPr>
          <w:rFonts w:hint="eastAsia" w:ascii="仿宋" w:hAnsi="仿宋" w:eastAsia="仿宋" w:cs="仿宋"/>
          <w:color w:val="auto"/>
          <w:sz w:val="24"/>
          <w:highlight w:val="yellow"/>
          <w:lang w:eastAsia="zh-CN"/>
        </w:rPr>
        <w:t>设置管理；</w:t>
      </w:r>
    </w:p>
    <w:p>
      <w:pPr>
        <w:numPr>
          <w:ilvl w:val="0"/>
          <w:numId w:val="27"/>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交易管理：负责提供给渠道投顾交易接口服务，</w:t>
      </w:r>
      <w:r>
        <w:rPr>
          <w:rFonts w:hint="eastAsia" w:ascii="仿宋" w:hAnsi="仿宋" w:eastAsia="仿宋" w:cs="仿宋"/>
          <w:color w:val="auto"/>
          <w:sz w:val="24"/>
          <w:highlight w:val="yellow"/>
          <w:lang w:eastAsia="zh-CN"/>
        </w:rPr>
        <w:t>并</w:t>
      </w:r>
      <w:r>
        <w:rPr>
          <w:rFonts w:hint="eastAsia" w:ascii="仿宋" w:hAnsi="仿宋" w:eastAsia="仿宋" w:cs="仿宋"/>
          <w:color w:val="auto"/>
          <w:sz w:val="24"/>
          <w:highlight w:val="yellow"/>
        </w:rPr>
        <w:t>对投顾机构下达的明细交易指令处理，并拆单下发至基金代销系统</w:t>
      </w:r>
      <w:r>
        <w:rPr>
          <w:rFonts w:hint="eastAsia" w:ascii="仿宋" w:hAnsi="仿宋" w:eastAsia="仿宋" w:cs="仿宋"/>
          <w:color w:val="auto"/>
          <w:sz w:val="24"/>
          <w:highlight w:val="yellow"/>
          <w:lang w:eastAsia="zh-CN"/>
        </w:rPr>
        <w:t>；</w:t>
      </w:r>
    </w:p>
    <w:p>
      <w:pPr>
        <w:numPr>
          <w:ilvl w:val="0"/>
          <w:numId w:val="27"/>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清算</w:t>
      </w:r>
      <w:r>
        <w:rPr>
          <w:rFonts w:hint="eastAsia" w:ascii="仿宋" w:hAnsi="仿宋" w:eastAsia="仿宋" w:cs="仿宋"/>
          <w:color w:val="auto"/>
          <w:sz w:val="24"/>
          <w:highlight w:val="yellow"/>
        </w:rPr>
        <w:t>管理：支持销售数据、核心账务、客户份额等</w:t>
      </w:r>
      <w:r>
        <w:rPr>
          <w:rFonts w:hint="eastAsia" w:ascii="仿宋" w:hAnsi="仿宋" w:eastAsia="仿宋" w:cs="仿宋"/>
          <w:color w:val="auto"/>
          <w:sz w:val="24"/>
          <w:highlight w:val="yellow"/>
          <w:lang w:eastAsia="zh-CN"/>
        </w:rPr>
        <w:t>的</w:t>
      </w:r>
      <w:r>
        <w:rPr>
          <w:rFonts w:hint="eastAsia" w:ascii="仿宋" w:hAnsi="仿宋" w:eastAsia="仿宋" w:cs="仿宋"/>
          <w:color w:val="auto"/>
          <w:sz w:val="24"/>
          <w:highlight w:val="yellow"/>
        </w:rPr>
        <w:t>对账及检查</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日启、日间和日终清算</w:t>
      </w:r>
      <w:r>
        <w:rPr>
          <w:rFonts w:hint="eastAsia" w:ascii="仿宋" w:hAnsi="仿宋" w:eastAsia="仿宋" w:cs="仿宋"/>
          <w:color w:val="auto"/>
          <w:sz w:val="24"/>
          <w:highlight w:val="yellow"/>
          <w:lang w:eastAsia="zh-CN"/>
        </w:rPr>
        <w:t>等；</w:t>
      </w:r>
    </w:p>
    <w:p>
      <w:pPr>
        <w:numPr>
          <w:ilvl w:val="0"/>
          <w:numId w:val="27"/>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查询统计：</w:t>
      </w:r>
      <w:r>
        <w:rPr>
          <w:rFonts w:hint="eastAsia" w:ascii="仿宋" w:hAnsi="仿宋" w:eastAsia="仿宋" w:cs="仿宋"/>
          <w:color w:val="auto"/>
          <w:sz w:val="24"/>
          <w:highlight w:val="yellow"/>
        </w:rPr>
        <w:t>主要包括客户资料、策略组合信息、客户组合资产、客户组合收益、组合流水信息、资金清算查询等查询管理</w:t>
      </w:r>
      <w:r>
        <w:rPr>
          <w:rFonts w:hint="eastAsia" w:ascii="仿宋" w:hAnsi="仿宋" w:eastAsia="仿宋" w:cs="仿宋"/>
          <w:color w:val="auto"/>
          <w:sz w:val="24"/>
          <w:highlight w:val="yellow"/>
          <w:lang w:eastAsia="zh-CN"/>
        </w:rPr>
        <w:t>及业绩统计等；</w:t>
      </w:r>
    </w:p>
    <w:p>
      <w:pPr>
        <w:numPr>
          <w:ilvl w:val="0"/>
          <w:numId w:val="27"/>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合规风控管理：根据监管要求对客户持有组合监测客户适当性风险</w:t>
      </w:r>
      <w:r>
        <w:rPr>
          <w:rFonts w:hint="eastAsia" w:ascii="仿宋" w:hAnsi="仿宋" w:eastAsia="仿宋" w:cs="仿宋"/>
          <w:color w:val="auto"/>
          <w:sz w:val="24"/>
          <w:highlight w:val="yellow"/>
          <w:lang w:eastAsia="zh-CN"/>
        </w:rPr>
        <w:t>管理；并对</w:t>
      </w:r>
      <w:r>
        <w:rPr>
          <w:rFonts w:hint="eastAsia" w:ascii="仿宋" w:hAnsi="仿宋" w:eastAsia="仿宋" w:cs="仿宋"/>
          <w:color w:val="auto"/>
          <w:sz w:val="24"/>
          <w:highlight w:val="yellow"/>
        </w:rPr>
        <w:t>投顾交易指令的执行、资金清算处理进行监控</w:t>
      </w:r>
      <w:r>
        <w:rPr>
          <w:rFonts w:hint="eastAsia" w:ascii="仿宋" w:hAnsi="仿宋" w:eastAsia="仿宋" w:cs="仿宋"/>
          <w:color w:val="auto"/>
          <w:sz w:val="24"/>
          <w:highlight w:val="yellow"/>
          <w:lang w:eastAsia="zh-CN"/>
        </w:rPr>
        <w:t>等。</w:t>
      </w:r>
    </w:p>
    <w:p>
      <w:pPr>
        <w:jc w:val="left"/>
        <w:rPr>
          <w:rFonts w:hint="eastAsia" w:ascii="仿宋" w:hAnsi="仿宋" w:eastAsia="仿宋" w:cs="仿宋"/>
          <w:color w:val="auto"/>
          <w:sz w:val="23"/>
          <w:highlight w:val="yellow"/>
        </w:rPr>
      </w:pPr>
    </w:p>
    <w:p>
      <w:pPr>
        <w:spacing w:line="360" w:lineRule="auto"/>
        <w:ind w:firstLine="482" w:firstLineChars="200"/>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四、保险代销系统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highlight w:val="yellow"/>
          <w:lang w:eastAsia="zh-CN"/>
        </w:rPr>
      </w:pPr>
      <w:r>
        <w:rPr>
          <w:rFonts w:hint="eastAsia" w:ascii="仿宋" w:hAnsi="仿宋" w:eastAsia="仿宋" w:cs="仿宋"/>
          <w:color w:val="auto"/>
          <w:sz w:val="24"/>
          <w:highlight w:val="yellow"/>
          <w:lang w:eastAsia="zh-CN"/>
        </w:rPr>
        <w:t>支持各类保险产品的销售，支持渠道包括但不限于柜面、个人手机银行、小燕</w:t>
      </w:r>
      <w:r>
        <w:rPr>
          <w:rFonts w:hint="eastAsia" w:ascii="仿宋" w:hAnsi="仿宋" w:eastAsia="仿宋" w:cs="仿宋"/>
          <w:color w:val="auto"/>
          <w:sz w:val="24"/>
          <w:highlight w:val="yellow"/>
          <w:lang w:val="en-US" w:eastAsia="zh-CN"/>
        </w:rPr>
        <w:t>PAD</w:t>
      </w:r>
      <w:r>
        <w:rPr>
          <w:rFonts w:hint="eastAsia" w:ascii="仿宋" w:hAnsi="仿宋" w:eastAsia="仿宋" w:cs="仿宋"/>
          <w:color w:val="auto"/>
          <w:sz w:val="24"/>
          <w:highlight w:val="yellow"/>
          <w:lang w:eastAsia="zh-CN"/>
        </w:rPr>
        <w:t>；支持销售至少</w:t>
      </w:r>
      <w:r>
        <w:rPr>
          <w:rFonts w:hint="eastAsia" w:ascii="仿宋" w:hAnsi="仿宋" w:eastAsia="仿宋" w:cs="仿宋"/>
          <w:color w:val="auto"/>
          <w:sz w:val="24"/>
          <w:highlight w:val="yellow"/>
          <w:lang w:val="en-US" w:eastAsia="zh-CN"/>
        </w:rPr>
        <w:t>5家</w:t>
      </w:r>
      <w:r>
        <w:rPr>
          <w:rFonts w:hint="eastAsia" w:ascii="仿宋" w:hAnsi="仿宋" w:eastAsia="仿宋" w:cs="仿宋"/>
          <w:color w:val="auto"/>
          <w:sz w:val="24"/>
          <w:highlight w:val="yellow"/>
          <w:lang w:eastAsia="zh-CN"/>
        </w:rPr>
        <w:t>保险公司各类保险产品；</w:t>
      </w:r>
    </w:p>
    <w:p>
      <w:pPr>
        <w:numPr>
          <w:ilvl w:val="0"/>
          <w:numId w:val="28"/>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公司管理：</w:t>
      </w:r>
      <w:r>
        <w:rPr>
          <w:rFonts w:hint="eastAsia" w:ascii="仿宋" w:hAnsi="仿宋" w:eastAsia="仿宋" w:cs="仿宋"/>
          <w:color w:val="auto"/>
          <w:sz w:val="24"/>
          <w:szCs w:val="24"/>
          <w:highlight w:val="yellow"/>
          <w:lang w:eastAsia="zh-CN"/>
        </w:rPr>
        <w:t>支持公司</w:t>
      </w:r>
      <w:r>
        <w:rPr>
          <w:rFonts w:hint="eastAsia" w:ascii="仿宋" w:hAnsi="仿宋" w:eastAsia="仿宋" w:cs="仿宋"/>
          <w:color w:val="auto"/>
          <w:sz w:val="24"/>
          <w:szCs w:val="24"/>
          <w:highlight w:val="yellow"/>
        </w:rPr>
        <w:t>准入管理、</w:t>
      </w:r>
      <w:r>
        <w:rPr>
          <w:rFonts w:hint="eastAsia" w:ascii="仿宋" w:hAnsi="仿宋" w:eastAsia="仿宋" w:cs="仿宋"/>
          <w:color w:val="auto"/>
          <w:sz w:val="24"/>
          <w:szCs w:val="24"/>
          <w:highlight w:val="yellow"/>
          <w:lang w:eastAsia="zh-CN"/>
        </w:rPr>
        <w:t>公司</w:t>
      </w:r>
      <w:r>
        <w:rPr>
          <w:rFonts w:hint="eastAsia" w:ascii="仿宋" w:hAnsi="仿宋" w:eastAsia="仿宋" w:cs="仿宋"/>
          <w:color w:val="auto"/>
          <w:sz w:val="24"/>
          <w:szCs w:val="24"/>
          <w:highlight w:val="yellow"/>
        </w:rPr>
        <w:t>费率折扣的管理等</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rPr>
        <w:t>以及协议文档、对应账户维护等；</w:t>
      </w:r>
    </w:p>
    <w:p>
      <w:pPr>
        <w:numPr>
          <w:ilvl w:val="0"/>
          <w:numId w:val="28"/>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产品管理：支持产品信息、产品</w:t>
      </w:r>
      <w:r>
        <w:rPr>
          <w:rFonts w:hint="eastAsia" w:ascii="仿宋" w:hAnsi="仿宋" w:eastAsia="仿宋" w:cs="仿宋"/>
          <w:color w:val="auto"/>
          <w:sz w:val="24"/>
          <w:szCs w:val="24"/>
          <w:highlight w:val="yellow"/>
          <w:lang w:eastAsia="zh-CN"/>
        </w:rPr>
        <w:t>准入</w:t>
      </w:r>
      <w:r>
        <w:rPr>
          <w:rFonts w:hint="eastAsia" w:ascii="仿宋" w:hAnsi="仿宋" w:eastAsia="仿宋" w:cs="仿宋"/>
          <w:color w:val="auto"/>
          <w:sz w:val="24"/>
          <w:szCs w:val="24"/>
          <w:highlight w:val="yellow"/>
        </w:rPr>
        <w:t>管理</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rPr>
        <w:t>产品参数管理、费率参数、折扣优惠参数</w:t>
      </w:r>
      <w:r>
        <w:rPr>
          <w:rFonts w:hint="eastAsia" w:ascii="仿宋" w:hAnsi="仿宋" w:eastAsia="仿宋" w:cs="仿宋"/>
          <w:color w:val="auto"/>
          <w:sz w:val="24"/>
          <w:szCs w:val="24"/>
          <w:highlight w:val="yellow"/>
          <w:lang w:eastAsia="zh-CN"/>
        </w:rPr>
        <w:t>管理</w:t>
      </w:r>
      <w:r>
        <w:rPr>
          <w:rFonts w:hint="eastAsia" w:ascii="仿宋" w:hAnsi="仿宋" w:eastAsia="仿宋" w:cs="仿宋"/>
          <w:color w:val="auto"/>
          <w:sz w:val="24"/>
          <w:szCs w:val="24"/>
          <w:highlight w:val="yellow"/>
        </w:rPr>
        <w:t>等；</w:t>
      </w:r>
    </w:p>
    <w:p>
      <w:pPr>
        <w:numPr>
          <w:ilvl w:val="0"/>
          <w:numId w:val="28"/>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销售管理：支持</w:t>
      </w:r>
      <w:r>
        <w:rPr>
          <w:rFonts w:hint="eastAsia" w:ascii="仿宋" w:hAnsi="仿宋" w:eastAsia="仿宋" w:cs="仿宋"/>
          <w:color w:val="auto"/>
          <w:sz w:val="24"/>
          <w:szCs w:val="24"/>
          <w:highlight w:val="yellow"/>
          <w:lang w:eastAsia="zh-CN"/>
        </w:rPr>
        <w:t>销售</w:t>
      </w:r>
      <w:r>
        <w:rPr>
          <w:rFonts w:hint="eastAsia" w:ascii="仿宋" w:hAnsi="仿宋" w:eastAsia="仿宋" w:cs="仿宋"/>
          <w:color w:val="auto"/>
          <w:sz w:val="24"/>
          <w:szCs w:val="24"/>
          <w:highlight w:val="yellow"/>
        </w:rPr>
        <w:t>机构、渠道</w:t>
      </w:r>
      <w:r>
        <w:rPr>
          <w:rFonts w:hint="eastAsia" w:ascii="仿宋" w:hAnsi="仿宋" w:eastAsia="仿宋" w:cs="仿宋"/>
          <w:color w:val="auto"/>
          <w:sz w:val="24"/>
          <w:szCs w:val="24"/>
          <w:highlight w:val="yellow"/>
          <w:lang w:eastAsia="zh-CN"/>
        </w:rPr>
        <w:t>等多维度设置</w:t>
      </w:r>
      <w:r>
        <w:rPr>
          <w:rFonts w:hint="eastAsia" w:ascii="仿宋" w:hAnsi="仿宋" w:eastAsia="仿宋" w:cs="仿宋"/>
          <w:color w:val="auto"/>
          <w:sz w:val="24"/>
          <w:szCs w:val="24"/>
          <w:highlight w:val="yellow"/>
        </w:rPr>
        <w:t>；支持银保通模式及代收费</w:t>
      </w:r>
      <w:r>
        <w:rPr>
          <w:rFonts w:hint="eastAsia" w:ascii="仿宋" w:hAnsi="仿宋" w:eastAsia="仿宋" w:cs="仿宋"/>
          <w:color w:val="auto"/>
          <w:sz w:val="24"/>
          <w:szCs w:val="24"/>
          <w:highlight w:val="yellow"/>
          <w:lang w:eastAsia="zh-CN"/>
        </w:rPr>
        <w:t>销售</w:t>
      </w:r>
      <w:r>
        <w:rPr>
          <w:rFonts w:hint="eastAsia" w:ascii="仿宋" w:hAnsi="仿宋" w:eastAsia="仿宋" w:cs="仿宋"/>
          <w:color w:val="auto"/>
          <w:sz w:val="24"/>
          <w:szCs w:val="24"/>
          <w:highlight w:val="yellow"/>
        </w:rPr>
        <w:t>模式；支持保费试算、出单、续期缴费、撤单、退保等；支持保单补录；</w:t>
      </w:r>
      <w:r>
        <w:rPr>
          <w:rFonts w:hint="eastAsia" w:ascii="仿宋" w:hAnsi="仿宋" w:eastAsia="仿宋" w:cs="仿宋"/>
          <w:color w:val="auto"/>
          <w:sz w:val="24"/>
          <w:szCs w:val="24"/>
          <w:highlight w:val="yellow"/>
          <w:lang w:eastAsia="zh-CN"/>
        </w:rPr>
        <w:t>支持销售人员资质管理等；</w:t>
      </w:r>
    </w:p>
    <w:p>
      <w:pPr>
        <w:numPr>
          <w:ilvl w:val="0"/>
          <w:numId w:val="28"/>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保单管理：支持保单下发、领入、上缴、回收、查询等管理；</w:t>
      </w:r>
    </w:p>
    <w:p>
      <w:pPr>
        <w:numPr>
          <w:ilvl w:val="0"/>
          <w:numId w:val="28"/>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清算管理：支持对账、</w:t>
      </w:r>
      <w:r>
        <w:rPr>
          <w:rFonts w:hint="eastAsia" w:ascii="仿宋" w:hAnsi="仿宋" w:eastAsia="仿宋" w:cs="仿宋"/>
          <w:color w:val="auto"/>
          <w:sz w:val="24"/>
          <w:szCs w:val="24"/>
          <w:highlight w:val="yellow"/>
          <w:lang w:eastAsia="zh-CN"/>
        </w:rPr>
        <w:t>清算、</w:t>
      </w:r>
      <w:r>
        <w:rPr>
          <w:rFonts w:hint="eastAsia" w:ascii="仿宋" w:hAnsi="仿宋" w:eastAsia="仿宋" w:cs="仿宋"/>
          <w:color w:val="auto"/>
          <w:sz w:val="24"/>
          <w:szCs w:val="24"/>
          <w:highlight w:val="yellow"/>
        </w:rPr>
        <w:t>差错处理等；支持自动划款和划款补处理等；</w:t>
      </w:r>
    </w:p>
    <w:p>
      <w:pPr>
        <w:numPr>
          <w:ilvl w:val="0"/>
          <w:numId w:val="28"/>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查询</w:t>
      </w:r>
      <w:r>
        <w:rPr>
          <w:rFonts w:hint="eastAsia" w:ascii="仿宋" w:hAnsi="仿宋" w:eastAsia="仿宋" w:cs="仿宋"/>
          <w:color w:val="auto"/>
          <w:sz w:val="24"/>
          <w:szCs w:val="24"/>
          <w:highlight w:val="yellow"/>
          <w:lang w:eastAsia="zh-CN"/>
        </w:rPr>
        <w:t>统计</w:t>
      </w:r>
      <w:r>
        <w:rPr>
          <w:rFonts w:hint="eastAsia" w:ascii="仿宋" w:hAnsi="仿宋" w:eastAsia="仿宋" w:cs="仿宋"/>
          <w:color w:val="auto"/>
          <w:sz w:val="24"/>
          <w:szCs w:val="24"/>
          <w:highlight w:val="yellow"/>
        </w:rPr>
        <w:t>：支持客户信息、产品信息、公司信息、投保信息、缴费信息、手续费收入</w:t>
      </w:r>
      <w:r>
        <w:rPr>
          <w:rFonts w:hint="eastAsia" w:ascii="仿宋" w:hAnsi="仿宋" w:eastAsia="仿宋" w:cs="仿宋"/>
          <w:color w:val="auto"/>
          <w:sz w:val="24"/>
          <w:szCs w:val="24"/>
          <w:highlight w:val="yellow"/>
          <w:lang w:eastAsia="zh-CN"/>
        </w:rPr>
        <w:t>、销售情况</w:t>
      </w:r>
      <w:r>
        <w:rPr>
          <w:rFonts w:hint="eastAsia" w:ascii="仿宋" w:hAnsi="仿宋" w:eastAsia="仿宋" w:cs="仿宋"/>
          <w:color w:val="auto"/>
          <w:sz w:val="24"/>
          <w:szCs w:val="24"/>
          <w:highlight w:val="yellow"/>
        </w:rPr>
        <w:t>等多维度查询及统计</w:t>
      </w:r>
      <w:r>
        <w:rPr>
          <w:rFonts w:hint="eastAsia" w:ascii="仿宋" w:hAnsi="仿宋" w:eastAsia="仿宋" w:cs="仿宋"/>
          <w:color w:val="auto"/>
          <w:sz w:val="24"/>
          <w:szCs w:val="24"/>
          <w:highlight w:val="yellow"/>
          <w:lang w:eastAsia="zh-CN"/>
        </w:rPr>
        <w:t>；</w:t>
      </w:r>
    </w:p>
    <w:p>
      <w:pPr>
        <w:jc w:val="left"/>
        <w:rPr>
          <w:rFonts w:hint="eastAsia" w:ascii="仿宋" w:hAnsi="仿宋" w:eastAsia="仿宋" w:cs="仿宋"/>
          <w:color w:val="auto"/>
          <w:sz w:val="24"/>
          <w:highlight w:val="yellow"/>
        </w:rPr>
      </w:pPr>
    </w:p>
    <w:p>
      <w:pPr>
        <w:spacing w:line="360" w:lineRule="auto"/>
        <w:ind w:firstLine="482" w:firstLineChars="200"/>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五、贵金属系统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highlight w:val="yellow"/>
          <w:lang w:eastAsia="zh-CN"/>
        </w:rPr>
      </w:pPr>
      <w:r>
        <w:rPr>
          <w:rFonts w:hint="eastAsia" w:ascii="仿宋" w:hAnsi="仿宋" w:eastAsia="仿宋" w:cs="仿宋"/>
          <w:color w:val="auto"/>
          <w:sz w:val="24"/>
          <w:highlight w:val="yellow"/>
          <w:lang w:eastAsia="zh-CN"/>
        </w:rPr>
        <w:t>支持实物贵金属的销售，支持渠道包括但不限于柜面、个人手机银行；</w:t>
      </w:r>
    </w:p>
    <w:p>
      <w:pPr>
        <w:numPr>
          <w:ilvl w:val="0"/>
          <w:numId w:val="29"/>
        </w:numPr>
        <w:autoSpaceDE w:val="0"/>
        <w:autoSpaceDN w:val="0"/>
        <w:adjustRightInd w:val="0"/>
        <w:spacing w:line="360" w:lineRule="auto"/>
        <w:ind w:left="0" w:leftChars="0" w:right="210" w:rightChars="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eastAsia="zh-CN"/>
        </w:rPr>
        <w:t>公司</w:t>
      </w:r>
      <w:r>
        <w:rPr>
          <w:rFonts w:hint="eastAsia" w:ascii="仿宋" w:hAnsi="仿宋" w:eastAsia="仿宋" w:cs="仿宋"/>
          <w:color w:val="auto"/>
          <w:sz w:val="24"/>
          <w:szCs w:val="24"/>
          <w:highlight w:val="yellow"/>
        </w:rPr>
        <w:t>管理：</w:t>
      </w:r>
      <w:r>
        <w:rPr>
          <w:rFonts w:hint="eastAsia" w:ascii="仿宋" w:hAnsi="仿宋" w:eastAsia="仿宋" w:cs="仿宋"/>
          <w:color w:val="auto"/>
          <w:sz w:val="24"/>
          <w:szCs w:val="24"/>
          <w:highlight w:val="yellow"/>
          <w:lang w:eastAsia="zh-CN"/>
        </w:rPr>
        <w:t>支持供货商公司</w:t>
      </w:r>
      <w:r>
        <w:rPr>
          <w:rFonts w:hint="eastAsia" w:ascii="仿宋" w:hAnsi="仿宋" w:eastAsia="仿宋" w:cs="仿宋"/>
          <w:color w:val="auto"/>
          <w:sz w:val="24"/>
          <w:szCs w:val="24"/>
          <w:highlight w:val="yellow"/>
        </w:rPr>
        <w:t>准入管理、</w:t>
      </w:r>
      <w:r>
        <w:rPr>
          <w:rFonts w:hint="eastAsia" w:ascii="仿宋" w:hAnsi="仿宋" w:eastAsia="仿宋" w:cs="仿宋"/>
          <w:color w:val="auto"/>
          <w:sz w:val="24"/>
          <w:szCs w:val="24"/>
          <w:highlight w:val="yellow"/>
          <w:lang w:eastAsia="zh-CN"/>
        </w:rPr>
        <w:t>公司</w:t>
      </w:r>
      <w:r>
        <w:rPr>
          <w:rFonts w:hint="eastAsia" w:ascii="仿宋" w:hAnsi="仿宋" w:eastAsia="仿宋" w:cs="仿宋"/>
          <w:color w:val="auto"/>
          <w:sz w:val="24"/>
          <w:szCs w:val="24"/>
          <w:highlight w:val="yellow"/>
        </w:rPr>
        <w:t>费率折扣的管理等</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rPr>
        <w:t>以及协议文档、对应账户维护等；</w:t>
      </w:r>
    </w:p>
    <w:p>
      <w:pPr>
        <w:numPr>
          <w:ilvl w:val="0"/>
          <w:numId w:val="29"/>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产品管理：支持产品</w:t>
      </w:r>
      <w:r>
        <w:rPr>
          <w:rFonts w:hint="eastAsia" w:ascii="仿宋" w:hAnsi="仿宋" w:eastAsia="仿宋" w:cs="仿宋"/>
          <w:color w:val="auto"/>
          <w:sz w:val="24"/>
          <w:szCs w:val="24"/>
          <w:highlight w:val="yellow"/>
          <w:lang w:eastAsia="zh-CN"/>
        </w:rPr>
        <w:t>准入、</w:t>
      </w:r>
      <w:r>
        <w:rPr>
          <w:rFonts w:hint="eastAsia" w:ascii="仿宋" w:hAnsi="仿宋" w:eastAsia="仿宋" w:cs="仿宋"/>
          <w:color w:val="auto"/>
          <w:sz w:val="24"/>
          <w:szCs w:val="24"/>
          <w:highlight w:val="yellow"/>
        </w:rPr>
        <w:t>产品参数管理</w:t>
      </w:r>
      <w:r>
        <w:rPr>
          <w:rFonts w:hint="eastAsia" w:ascii="仿宋" w:hAnsi="仿宋" w:eastAsia="仿宋" w:cs="仿宋"/>
          <w:color w:val="auto"/>
          <w:sz w:val="24"/>
          <w:szCs w:val="24"/>
          <w:highlight w:val="yellow"/>
          <w:lang w:eastAsia="zh-CN"/>
        </w:rPr>
        <w:t>、上下架管理</w:t>
      </w:r>
      <w:r>
        <w:rPr>
          <w:rFonts w:hint="eastAsia" w:ascii="仿宋" w:hAnsi="仿宋" w:eastAsia="仿宋" w:cs="仿宋"/>
          <w:color w:val="auto"/>
          <w:sz w:val="24"/>
          <w:szCs w:val="24"/>
          <w:highlight w:val="yellow"/>
        </w:rPr>
        <w:t>，支持</w:t>
      </w:r>
      <w:r>
        <w:rPr>
          <w:rFonts w:hint="eastAsia" w:ascii="仿宋" w:hAnsi="仿宋" w:eastAsia="仿宋" w:cs="仿宋"/>
          <w:color w:val="auto"/>
          <w:sz w:val="24"/>
          <w:szCs w:val="24"/>
          <w:highlight w:val="yellow"/>
          <w:lang w:eastAsia="zh-CN"/>
        </w:rPr>
        <w:t>产品</w:t>
      </w:r>
      <w:r>
        <w:rPr>
          <w:rFonts w:hint="eastAsia" w:ascii="仿宋" w:hAnsi="仿宋" w:eastAsia="仿宋" w:cs="仿宋"/>
          <w:color w:val="auto"/>
          <w:sz w:val="24"/>
          <w:szCs w:val="24"/>
          <w:highlight w:val="yellow"/>
        </w:rPr>
        <w:t>图片信息维护等；支持产品的报价信息维护，</w:t>
      </w:r>
      <w:r>
        <w:rPr>
          <w:rFonts w:hint="eastAsia" w:ascii="仿宋" w:hAnsi="仿宋" w:eastAsia="仿宋" w:cs="仿宋"/>
          <w:color w:val="auto"/>
          <w:sz w:val="24"/>
          <w:szCs w:val="24"/>
          <w:highlight w:val="yellow"/>
          <w:lang w:eastAsia="zh-CN"/>
        </w:rPr>
        <w:t>包括</w:t>
      </w:r>
      <w:r>
        <w:rPr>
          <w:rFonts w:hint="eastAsia" w:ascii="仿宋" w:hAnsi="仿宋" w:eastAsia="仿宋" w:cs="仿宋"/>
          <w:color w:val="auto"/>
          <w:sz w:val="24"/>
          <w:szCs w:val="24"/>
          <w:highlight w:val="yellow"/>
        </w:rPr>
        <w:t>购买价格、基准价格、回购价格、回购手续费价格、购买手续费价格、优惠费率、基础金价维护等单条或批量处理</w:t>
      </w:r>
      <w:r>
        <w:rPr>
          <w:rFonts w:hint="eastAsia" w:ascii="仿宋" w:hAnsi="仿宋" w:eastAsia="仿宋" w:cs="仿宋"/>
          <w:color w:val="auto"/>
          <w:sz w:val="24"/>
          <w:szCs w:val="24"/>
          <w:highlight w:val="yellow"/>
          <w:lang w:eastAsia="zh-CN"/>
        </w:rPr>
        <w:t>以及</w:t>
      </w:r>
      <w:r>
        <w:rPr>
          <w:rFonts w:hint="eastAsia" w:ascii="仿宋" w:hAnsi="仿宋" w:eastAsia="仿宋" w:cs="仿宋"/>
          <w:color w:val="auto"/>
          <w:sz w:val="24"/>
          <w:szCs w:val="24"/>
          <w:highlight w:val="yellow"/>
        </w:rPr>
        <w:t>一日一价、一日多价、多日一价等</w:t>
      </w:r>
      <w:r>
        <w:rPr>
          <w:rFonts w:hint="eastAsia" w:ascii="仿宋" w:hAnsi="仿宋" w:eastAsia="仿宋" w:cs="仿宋"/>
          <w:color w:val="auto"/>
          <w:sz w:val="24"/>
          <w:szCs w:val="24"/>
          <w:highlight w:val="yellow"/>
          <w:lang w:eastAsia="zh-CN"/>
        </w:rPr>
        <w:t>多种报价模式；</w:t>
      </w:r>
    </w:p>
    <w:p>
      <w:pPr>
        <w:numPr>
          <w:ilvl w:val="0"/>
          <w:numId w:val="29"/>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销售管理：支持</w:t>
      </w:r>
      <w:r>
        <w:rPr>
          <w:rFonts w:hint="eastAsia" w:ascii="仿宋" w:hAnsi="仿宋" w:eastAsia="仿宋" w:cs="仿宋"/>
          <w:color w:val="auto"/>
          <w:sz w:val="24"/>
          <w:szCs w:val="24"/>
          <w:highlight w:val="yellow"/>
          <w:lang w:eastAsia="zh-CN"/>
        </w:rPr>
        <w:t>销售</w:t>
      </w:r>
      <w:r>
        <w:rPr>
          <w:rFonts w:hint="eastAsia" w:ascii="仿宋" w:hAnsi="仿宋" w:eastAsia="仿宋" w:cs="仿宋"/>
          <w:color w:val="auto"/>
          <w:sz w:val="24"/>
          <w:szCs w:val="24"/>
          <w:highlight w:val="yellow"/>
        </w:rPr>
        <w:t>机构、渠道</w:t>
      </w:r>
      <w:r>
        <w:rPr>
          <w:rFonts w:hint="eastAsia" w:ascii="仿宋" w:hAnsi="仿宋" w:eastAsia="仿宋" w:cs="仿宋"/>
          <w:color w:val="auto"/>
          <w:sz w:val="24"/>
          <w:szCs w:val="24"/>
          <w:highlight w:val="yellow"/>
          <w:lang w:eastAsia="zh-CN"/>
        </w:rPr>
        <w:t>设置</w:t>
      </w:r>
      <w:r>
        <w:rPr>
          <w:rFonts w:hint="eastAsia" w:ascii="仿宋" w:hAnsi="仿宋" w:eastAsia="仿宋" w:cs="仿宋"/>
          <w:color w:val="auto"/>
          <w:sz w:val="24"/>
          <w:szCs w:val="24"/>
          <w:highlight w:val="yellow"/>
        </w:rPr>
        <w:t>；支持铺货模式及预售模式销售，包括购买、撤单、提货、退货、配送物流信息维护等；支持销售明细补录；</w:t>
      </w:r>
    </w:p>
    <w:p>
      <w:pPr>
        <w:numPr>
          <w:ilvl w:val="0"/>
          <w:numId w:val="29"/>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库存管理：支持出入库、库存核对等；</w:t>
      </w:r>
    </w:p>
    <w:p>
      <w:pPr>
        <w:numPr>
          <w:ilvl w:val="0"/>
          <w:numId w:val="29"/>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清算管理：支持对账、</w:t>
      </w:r>
      <w:r>
        <w:rPr>
          <w:rFonts w:hint="eastAsia" w:ascii="仿宋" w:hAnsi="仿宋" w:eastAsia="仿宋" w:cs="仿宋"/>
          <w:color w:val="auto"/>
          <w:sz w:val="24"/>
          <w:szCs w:val="24"/>
          <w:highlight w:val="yellow"/>
          <w:lang w:eastAsia="zh-CN"/>
        </w:rPr>
        <w:t>清算、</w:t>
      </w:r>
      <w:r>
        <w:rPr>
          <w:rFonts w:hint="eastAsia" w:ascii="仿宋" w:hAnsi="仿宋" w:eastAsia="仿宋" w:cs="仿宋"/>
          <w:color w:val="auto"/>
          <w:sz w:val="24"/>
          <w:szCs w:val="24"/>
          <w:highlight w:val="yellow"/>
        </w:rPr>
        <w:t>差错处理等，支持自动划款和划款补处理等；</w:t>
      </w:r>
    </w:p>
    <w:p>
      <w:pPr>
        <w:numPr>
          <w:ilvl w:val="0"/>
          <w:numId w:val="29"/>
        </w:numPr>
        <w:autoSpaceDE w:val="0"/>
        <w:autoSpaceDN w:val="0"/>
        <w:adjustRightInd w:val="0"/>
        <w:spacing w:line="360" w:lineRule="auto"/>
        <w:ind w:left="0" w:leftChars="0" w:right="210" w:firstLine="400" w:firstLineChars="0"/>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查询</w:t>
      </w:r>
      <w:r>
        <w:rPr>
          <w:rFonts w:hint="eastAsia" w:ascii="仿宋" w:hAnsi="仿宋" w:eastAsia="仿宋" w:cs="仿宋"/>
          <w:color w:val="auto"/>
          <w:sz w:val="24"/>
          <w:szCs w:val="24"/>
          <w:highlight w:val="yellow"/>
          <w:lang w:eastAsia="zh-CN"/>
        </w:rPr>
        <w:t>统计</w:t>
      </w:r>
      <w:r>
        <w:rPr>
          <w:rFonts w:hint="eastAsia" w:ascii="仿宋" w:hAnsi="仿宋" w:eastAsia="仿宋" w:cs="仿宋"/>
          <w:color w:val="auto"/>
          <w:sz w:val="24"/>
          <w:szCs w:val="24"/>
          <w:highlight w:val="yellow"/>
        </w:rPr>
        <w:t>：支持客户信息、产品信息、供货商信息、销售明细及汇总、价格情况、手续费收入、库存情况等多种维度查询及统计。</w:t>
      </w:r>
    </w:p>
    <w:p>
      <w:pPr>
        <w:autoSpaceDE w:val="0"/>
        <w:autoSpaceDN w:val="0"/>
        <w:adjustRightInd w:val="0"/>
        <w:spacing w:line="360" w:lineRule="auto"/>
        <w:ind w:right="210"/>
        <w:rPr>
          <w:rFonts w:hint="eastAsia" w:ascii="仿宋" w:hAnsi="仿宋" w:eastAsia="仿宋" w:cs="仿宋"/>
          <w:color w:val="auto"/>
          <w:sz w:val="24"/>
          <w:highlight w:val="yellow"/>
        </w:rPr>
      </w:pPr>
    </w:p>
    <w:p>
      <w:pPr>
        <w:spacing w:line="360" w:lineRule="auto"/>
        <w:ind w:firstLine="482" w:firstLineChars="200"/>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六、结构性存款系统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210" w:rightChars="0" w:firstLine="480" w:firstLineChars="200"/>
        <w:jc w:val="both"/>
        <w:textAlignment w:val="auto"/>
        <w:outlineLvl w:val="9"/>
        <w:rPr>
          <w:rFonts w:hint="eastAsia" w:ascii="仿宋" w:hAnsi="仿宋" w:eastAsia="仿宋" w:cs="仿宋"/>
          <w:color w:val="auto"/>
          <w:sz w:val="24"/>
          <w:highlight w:val="yellow"/>
        </w:rPr>
      </w:pPr>
      <w:r>
        <w:rPr>
          <w:rFonts w:hint="eastAsia" w:ascii="仿宋" w:hAnsi="仿宋" w:eastAsia="仿宋" w:cs="仿宋"/>
          <w:color w:val="auto"/>
          <w:sz w:val="24"/>
          <w:highlight w:val="yellow"/>
        </w:rPr>
        <w:t>支持封闭式</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开放式</w:t>
      </w:r>
      <w:r>
        <w:rPr>
          <w:rFonts w:hint="eastAsia" w:ascii="仿宋" w:hAnsi="仿宋" w:eastAsia="仿宋" w:cs="仿宋"/>
          <w:color w:val="auto"/>
          <w:sz w:val="24"/>
          <w:highlight w:val="yellow"/>
          <w:lang w:eastAsia="zh-CN"/>
        </w:rPr>
        <w:t>、周期滚续式</w:t>
      </w:r>
      <w:r>
        <w:rPr>
          <w:rFonts w:hint="eastAsia" w:ascii="仿宋" w:hAnsi="仿宋" w:eastAsia="仿宋" w:cs="仿宋"/>
          <w:color w:val="auto"/>
          <w:sz w:val="24"/>
          <w:highlight w:val="yellow"/>
        </w:rPr>
        <w:t>等多种产品形态</w:t>
      </w:r>
      <w:r>
        <w:rPr>
          <w:rFonts w:hint="eastAsia" w:ascii="仿宋" w:hAnsi="仿宋" w:eastAsia="仿宋" w:cs="仿宋"/>
          <w:color w:val="auto"/>
          <w:sz w:val="24"/>
          <w:highlight w:val="yellow"/>
          <w:lang w:eastAsia="zh-CN"/>
        </w:rPr>
        <w:t>，支持持有期付息功能，支持渠道包括但不限于</w:t>
      </w:r>
      <w:r>
        <w:rPr>
          <w:rFonts w:hint="eastAsia" w:ascii="仿宋" w:hAnsi="仿宋" w:eastAsia="仿宋" w:cs="仿宋"/>
          <w:color w:val="auto"/>
          <w:sz w:val="24"/>
          <w:highlight w:val="yellow"/>
        </w:rPr>
        <w:t>柜面、VTM、个人及对公手机银行</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对公网银</w:t>
      </w:r>
      <w:r>
        <w:rPr>
          <w:rFonts w:hint="eastAsia" w:ascii="仿宋" w:hAnsi="仿宋" w:eastAsia="仿宋" w:cs="仿宋"/>
          <w:color w:val="auto"/>
          <w:sz w:val="24"/>
          <w:highlight w:val="yellow"/>
          <w:lang w:eastAsia="zh-CN"/>
        </w:rPr>
        <w:t>、云银行、小燕平台、移动厅堂、</w:t>
      </w:r>
      <w:r>
        <w:rPr>
          <w:rFonts w:hint="eastAsia" w:ascii="仿宋" w:hAnsi="仿宋" w:eastAsia="仿宋" w:cs="仿宋"/>
          <w:color w:val="auto"/>
          <w:sz w:val="24"/>
          <w:highlight w:val="yellow"/>
          <w:lang w:val="en-US" w:eastAsia="zh-CN"/>
        </w:rPr>
        <w:t>ATMC端、小程序等</w:t>
      </w:r>
      <w:r>
        <w:rPr>
          <w:rFonts w:hint="eastAsia" w:ascii="仿宋" w:hAnsi="仿宋" w:eastAsia="仿宋" w:cs="仿宋"/>
          <w:color w:val="auto"/>
          <w:sz w:val="24"/>
          <w:highlight w:val="yellow"/>
          <w:lang w:eastAsia="zh-CN"/>
        </w:rPr>
        <w:t>：</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客户信息管理：支持包括客户信息管理、客户签约管理和客户风险评级管理等</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与本行的客户信息同步</w:t>
      </w:r>
      <w:r>
        <w:rPr>
          <w:rFonts w:hint="eastAsia" w:ascii="仿宋" w:hAnsi="仿宋" w:eastAsia="仿宋" w:cs="仿宋"/>
          <w:color w:val="auto"/>
          <w:sz w:val="24"/>
          <w:highlight w:val="yellow"/>
          <w:lang w:eastAsia="zh-CN"/>
        </w:rPr>
        <w:t>；</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客户经理管理：支持</w:t>
      </w:r>
      <w:r>
        <w:rPr>
          <w:rFonts w:hint="eastAsia" w:ascii="仿宋" w:hAnsi="仿宋" w:eastAsia="仿宋" w:cs="仿宋"/>
          <w:color w:val="auto"/>
          <w:sz w:val="24"/>
          <w:highlight w:val="yellow"/>
          <w:lang w:eastAsia="zh-CN"/>
        </w:rPr>
        <w:t>客户经理信息管理、</w:t>
      </w:r>
      <w:r>
        <w:rPr>
          <w:rFonts w:hint="eastAsia" w:ascii="仿宋" w:hAnsi="仿宋" w:eastAsia="仿宋" w:cs="仿宋"/>
          <w:color w:val="auto"/>
          <w:sz w:val="24"/>
          <w:highlight w:val="yellow"/>
        </w:rPr>
        <w:t>业绩查询及统计、</w:t>
      </w:r>
      <w:r>
        <w:rPr>
          <w:rFonts w:hint="eastAsia" w:ascii="仿宋" w:hAnsi="仿宋" w:eastAsia="仿宋" w:cs="仿宋"/>
          <w:color w:val="auto"/>
          <w:sz w:val="24"/>
          <w:highlight w:val="yellow"/>
          <w:lang w:eastAsia="zh-CN"/>
        </w:rPr>
        <w:t>销售资质管理等；</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产品管理：支持</w:t>
      </w:r>
      <w:r>
        <w:rPr>
          <w:rFonts w:hint="eastAsia" w:ascii="仿宋" w:hAnsi="仿宋" w:eastAsia="仿宋" w:cs="仿宋"/>
          <w:color w:val="auto"/>
          <w:sz w:val="24"/>
          <w:highlight w:val="yellow"/>
        </w:rPr>
        <w:t>结构性存款生命周期管理、收益计算、费用计算、分红处理、客户资产份额登记过户</w:t>
      </w:r>
      <w:r>
        <w:rPr>
          <w:rFonts w:hint="eastAsia" w:ascii="仿宋" w:hAnsi="仿宋" w:eastAsia="仿宋" w:cs="仿宋"/>
          <w:color w:val="auto"/>
          <w:sz w:val="24"/>
          <w:highlight w:val="yellow"/>
          <w:lang w:eastAsia="zh-CN"/>
        </w:rPr>
        <w:t>等；支持产品</w:t>
      </w:r>
      <w:r>
        <w:rPr>
          <w:rFonts w:hint="eastAsia" w:ascii="仿宋" w:hAnsi="仿宋" w:eastAsia="仿宋" w:cs="仿宋"/>
          <w:color w:val="auto"/>
          <w:sz w:val="24"/>
          <w:highlight w:val="yellow"/>
        </w:rPr>
        <w:t>信披文件推送</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产品参数管理、产品工作日、产品定价、优惠销售策略的设置</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支持产品定期自动购买和不定期自动购买</w:t>
      </w:r>
      <w:r>
        <w:rPr>
          <w:rFonts w:hint="eastAsia" w:ascii="仿宋" w:hAnsi="仿宋" w:eastAsia="仿宋" w:cs="仿宋"/>
          <w:color w:val="auto"/>
          <w:sz w:val="24"/>
          <w:highlight w:val="yellow"/>
          <w:lang w:eastAsia="zh-CN"/>
        </w:rPr>
        <w:t>；</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销售管理：支持各</w:t>
      </w:r>
      <w:r>
        <w:rPr>
          <w:rFonts w:hint="eastAsia" w:ascii="仿宋" w:hAnsi="仿宋" w:eastAsia="仿宋" w:cs="仿宋"/>
          <w:color w:val="auto"/>
          <w:sz w:val="24"/>
          <w:highlight w:val="yellow"/>
          <w:lang w:eastAsia="zh-CN"/>
        </w:rPr>
        <w:t>产品</w:t>
      </w:r>
      <w:r>
        <w:rPr>
          <w:rFonts w:hint="eastAsia" w:ascii="仿宋" w:hAnsi="仿宋" w:eastAsia="仿宋" w:cs="仿宋"/>
          <w:color w:val="auto"/>
          <w:sz w:val="24"/>
          <w:highlight w:val="yellow"/>
        </w:rPr>
        <w:t>的销售，支持客户账户管理、销售文档管理、产品上下架管理、资金处理、销售额度、销售费率等的管理，支持按区域、客群、机构、人员、渠道、邀约码、黑白名单等销售控制，满足销售适当性等目前已有的监管要求，实现产品的多维度实时销售管理</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支持产品灵活赎回，包括设置产品默认赎回功能</w:t>
      </w:r>
      <w:r>
        <w:rPr>
          <w:rFonts w:hint="eastAsia" w:ascii="仿宋" w:hAnsi="仿宋" w:eastAsia="仿宋" w:cs="仿宋"/>
          <w:color w:val="auto"/>
          <w:sz w:val="24"/>
          <w:highlight w:val="yellow"/>
          <w:lang w:eastAsia="zh-CN"/>
        </w:rPr>
        <w:t>并</w:t>
      </w:r>
      <w:r>
        <w:rPr>
          <w:rFonts w:hint="eastAsia" w:ascii="仿宋" w:hAnsi="仿宋" w:eastAsia="仿宋" w:cs="仿宋"/>
          <w:color w:val="auto"/>
          <w:sz w:val="24"/>
          <w:highlight w:val="yellow"/>
        </w:rPr>
        <w:t>支持客户二次选择</w:t>
      </w:r>
      <w:r>
        <w:rPr>
          <w:rFonts w:hint="eastAsia" w:ascii="仿宋" w:hAnsi="仿宋" w:eastAsia="仿宋" w:cs="仿宋"/>
          <w:color w:val="auto"/>
          <w:sz w:val="24"/>
          <w:highlight w:val="yellow"/>
          <w:lang w:eastAsia="zh-CN"/>
        </w:rPr>
        <w:t>确认，</w:t>
      </w:r>
      <w:r>
        <w:rPr>
          <w:rFonts w:hint="eastAsia" w:ascii="仿宋" w:hAnsi="仿宋" w:eastAsia="仿宋" w:cs="仿宋"/>
          <w:color w:val="auto"/>
          <w:sz w:val="24"/>
          <w:highlight w:val="yellow"/>
        </w:rPr>
        <w:t>以及支持客户在指定日期预约赎回等</w:t>
      </w:r>
      <w:r>
        <w:rPr>
          <w:rFonts w:hint="eastAsia" w:ascii="仿宋" w:hAnsi="仿宋" w:eastAsia="仿宋" w:cs="仿宋"/>
          <w:color w:val="auto"/>
          <w:sz w:val="24"/>
          <w:highlight w:val="yellow"/>
          <w:lang w:eastAsia="zh-CN"/>
        </w:rPr>
        <w:t>；支持开放期、到期客户信息提醒，支持开放期、成立到期日、账单日等特殊节点管理员提醒；</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清算</w:t>
      </w:r>
      <w:r>
        <w:rPr>
          <w:rFonts w:hint="eastAsia" w:ascii="仿宋" w:hAnsi="仿宋" w:eastAsia="仿宋" w:cs="仿宋"/>
          <w:color w:val="auto"/>
          <w:sz w:val="24"/>
          <w:highlight w:val="yellow"/>
        </w:rPr>
        <w:t>管理：支持认申购、兑付赎回、分红</w:t>
      </w:r>
      <w:r>
        <w:rPr>
          <w:rFonts w:hint="eastAsia" w:ascii="仿宋" w:hAnsi="仿宋" w:eastAsia="仿宋" w:cs="仿宋"/>
          <w:color w:val="auto"/>
          <w:sz w:val="24"/>
          <w:highlight w:val="yellow"/>
          <w:lang w:eastAsia="zh-CN"/>
        </w:rPr>
        <w:t>、付息</w:t>
      </w:r>
      <w:r>
        <w:rPr>
          <w:rFonts w:hint="eastAsia" w:ascii="仿宋" w:hAnsi="仿宋" w:eastAsia="仿宋" w:cs="仿宋"/>
          <w:color w:val="auto"/>
          <w:sz w:val="24"/>
          <w:highlight w:val="yellow"/>
        </w:rPr>
        <w:t>等资金的全额、轧差核对、划转等</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支持灵活</w:t>
      </w:r>
      <w:r>
        <w:rPr>
          <w:rFonts w:hint="eastAsia" w:ascii="仿宋" w:hAnsi="仿宋" w:eastAsia="仿宋" w:cs="仿宋"/>
          <w:color w:val="auto"/>
          <w:sz w:val="24"/>
          <w:highlight w:val="yellow"/>
          <w:lang w:eastAsia="zh-CN"/>
        </w:rPr>
        <w:t>、可视化</w:t>
      </w:r>
      <w:r>
        <w:rPr>
          <w:rFonts w:hint="eastAsia" w:ascii="仿宋" w:hAnsi="仿宋" w:eastAsia="仿宋" w:cs="仿宋"/>
          <w:color w:val="auto"/>
          <w:sz w:val="24"/>
          <w:highlight w:val="yellow"/>
        </w:rPr>
        <w:t>的清算模式，支持日终清算、日启清算、日间清算等，提供批量自动化清算流程，支持可重复执行</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断点重跑</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清算通知提醒</w:t>
      </w:r>
      <w:r>
        <w:rPr>
          <w:rFonts w:hint="eastAsia" w:ascii="仿宋" w:hAnsi="仿宋" w:eastAsia="仿宋" w:cs="仿宋"/>
          <w:color w:val="auto"/>
          <w:sz w:val="24"/>
          <w:highlight w:val="yellow"/>
          <w:lang w:eastAsia="zh-CN"/>
        </w:rPr>
        <w:t>等；</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监管合规性管理：</w:t>
      </w:r>
      <w:r>
        <w:rPr>
          <w:rFonts w:hint="eastAsia" w:ascii="仿宋" w:hAnsi="仿宋" w:eastAsia="仿宋" w:cs="仿宋"/>
          <w:color w:val="auto"/>
          <w:sz w:val="24"/>
          <w:highlight w:val="yellow"/>
          <w:lang w:eastAsia="zh-CN"/>
        </w:rPr>
        <w:t>提供</w:t>
      </w:r>
      <w:r>
        <w:rPr>
          <w:rFonts w:hint="eastAsia" w:ascii="仿宋" w:hAnsi="仿宋" w:eastAsia="仿宋" w:cs="仿宋"/>
          <w:color w:val="auto"/>
          <w:sz w:val="24"/>
          <w:highlight w:val="yellow"/>
        </w:rPr>
        <w:t>新规要求独立的结构性存款标准模板，</w:t>
      </w:r>
      <w:r>
        <w:rPr>
          <w:rFonts w:hint="eastAsia" w:ascii="仿宋" w:hAnsi="仿宋" w:eastAsia="仿宋" w:cs="仿宋"/>
          <w:color w:val="auto"/>
          <w:sz w:val="24"/>
          <w:highlight w:val="yellow"/>
          <w:lang w:eastAsia="zh-CN"/>
        </w:rPr>
        <w:t>包括但不限于</w:t>
      </w:r>
      <w:r>
        <w:rPr>
          <w:rFonts w:hint="eastAsia" w:ascii="仿宋" w:hAnsi="仿宋" w:eastAsia="仿宋" w:cs="仿宋"/>
          <w:color w:val="auto"/>
          <w:sz w:val="24"/>
          <w:highlight w:val="yellow"/>
        </w:rPr>
        <w:t>非居民涉税、合格投资者控制、起点金额的控制、冷静期控制、产品账单、面签及风险评估管理</w:t>
      </w:r>
      <w:r>
        <w:rPr>
          <w:rFonts w:hint="eastAsia" w:ascii="仿宋" w:hAnsi="仿宋" w:eastAsia="仿宋" w:cs="仿宋"/>
          <w:color w:val="auto"/>
          <w:sz w:val="24"/>
          <w:highlight w:val="yellow"/>
          <w:lang w:eastAsia="zh-CN"/>
        </w:rPr>
        <w:t>等；</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表内管理</w:t>
      </w:r>
      <w:r>
        <w:rPr>
          <w:rFonts w:hint="eastAsia" w:ascii="仿宋" w:hAnsi="仿宋" w:eastAsia="仿宋" w:cs="仿宋"/>
          <w:color w:val="auto"/>
          <w:sz w:val="24"/>
          <w:highlight w:val="yellow"/>
        </w:rPr>
        <w:t>：</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计提客户收益</w:t>
      </w:r>
      <w:r>
        <w:rPr>
          <w:rFonts w:hint="eastAsia" w:ascii="仿宋" w:hAnsi="仿宋" w:eastAsia="仿宋" w:cs="仿宋"/>
          <w:color w:val="auto"/>
          <w:sz w:val="24"/>
          <w:highlight w:val="yellow"/>
          <w:lang w:eastAsia="zh-CN"/>
        </w:rPr>
        <w:t>、本金管理等；支持</w:t>
      </w:r>
      <w:r>
        <w:rPr>
          <w:rFonts w:hint="eastAsia" w:ascii="仿宋" w:hAnsi="仿宋" w:eastAsia="仿宋" w:cs="仿宋"/>
          <w:color w:val="auto"/>
          <w:sz w:val="24"/>
          <w:highlight w:val="yellow"/>
        </w:rPr>
        <w:t>每日应付收益计提</w:t>
      </w:r>
      <w:r>
        <w:rPr>
          <w:rFonts w:hint="eastAsia" w:ascii="仿宋" w:hAnsi="仿宋" w:eastAsia="仿宋" w:cs="仿宋"/>
          <w:color w:val="auto"/>
          <w:sz w:val="24"/>
          <w:highlight w:val="yellow"/>
          <w:lang w:eastAsia="zh-CN"/>
        </w:rPr>
        <w:t>等；</w:t>
      </w:r>
      <w:r>
        <w:rPr>
          <w:rFonts w:hint="eastAsia" w:ascii="仿宋" w:hAnsi="仿宋" w:eastAsia="仿宋" w:cs="仿宋"/>
          <w:color w:val="auto"/>
          <w:sz w:val="24"/>
          <w:highlight w:val="yellow"/>
        </w:rPr>
        <w:t xml:space="preserve"> </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lang w:eastAsia="zh-CN"/>
        </w:rPr>
        <w:t>客户</w:t>
      </w:r>
      <w:r>
        <w:rPr>
          <w:rFonts w:hint="eastAsia" w:ascii="仿宋" w:hAnsi="仿宋" w:eastAsia="仿宋" w:cs="仿宋"/>
          <w:color w:val="auto"/>
          <w:sz w:val="24"/>
          <w:highlight w:val="yellow"/>
        </w:rPr>
        <w:t>收益</w:t>
      </w:r>
      <w:r>
        <w:rPr>
          <w:rFonts w:hint="eastAsia" w:ascii="仿宋" w:hAnsi="仿宋" w:eastAsia="仿宋" w:cs="仿宋"/>
          <w:color w:val="auto"/>
          <w:sz w:val="24"/>
          <w:highlight w:val="yellow"/>
          <w:lang w:eastAsia="zh-CN"/>
        </w:rPr>
        <w:t>计算</w:t>
      </w:r>
      <w:r>
        <w:rPr>
          <w:rFonts w:hint="eastAsia" w:ascii="仿宋" w:hAnsi="仿宋" w:eastAsia="仿宋" w:cs="仿宋"/>
          <w:color w:val="auto"/>
          <w:sz w:val="24"/>
          <w:highlight w:val="yellow"/>
        </w:rPr>
        <w:t>：</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在产品收益结构设计中设置产品的收益结构，根据挂钩标的设置自动计算并兑付到期收益</w:t>
      </w:r>
      <w:r>
        <w:rPr>
          <w:rFonts w:hint="eastAsia" w:ascii="仿宋" w:hAnsi="仿宋" w:eastAsia="仿宋" w:cs="仿宋"/>
          <w:color w:val="auto"/>
          <w:sz w:val="24"/>
          <w:highlight w:val="yellow"/>
          <w:lang w:eastAsia="zh-CN"/>
        </w:rPr>
        <w:t>等；</w:t>
      </w:r>
      <w:r>
        <w:rPr>
          <w:rFonts w:hint="eastAsia" w:ascii="仿宋" w:hAnsi="仿宋" w:eastAsia="仿宋" w:cs="仿宋"/>
          <w:color w:val="auto"/>
          <w:sz w:val="24"/>
          <w:highlight w:val="yellow"/>
        </w:rPr>
        <w:t xml:space="preserve"> </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查询</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：提供产品信息</w:t>
      </w:r>
      <w:r>
        <w:rPr>
          <w:rFonts w:hint="eastAsia" w:ascii="仿宋" w:hAnsi="仿宋" w:eastAsia="仿宋" w:cs="仿宋"/>
          <w:color w:val="auto"/>
          <w:sz w:val="24"/>
          <w:highlight w:val="yellow"/>
          <w:lang w:eastAsia="zh-CN"/>
        </w:rPr>
        <w:t>查询、</w:t>
      </w:r>
      <w:r>
        <w:rPr>
          <w:rFonts w:hint="eastAsia" w:ascii="仿宋" w:hAnsi="仿宋" w:eastAsia="仿宋" w:cs="仿宋"/>
          <w:color w:val="auto"/>
          <w:sz w:val="24"/>
          <w:highlight w:val="yellow"/>
        </w:rPr>
        <w:t>在售产品信息查询、预售产品信息查询、资金兑付明细查询、资金归集明细查询、客户账户信息查询</w:t>
      </w:r>
      <w:r>
        <w:rPr>
          <w:rFonts w:hint="eastAsia" w:ascii="仿宋" w:hAnsi="仿宋" w:eastAsia="仿宋" w:cs="仿宋"/>
          <w:color w:val="auto"/>
          <w:sz w:val="24"/>
          <w:highlight w:val="yellow"/>
          <w:lang w:eastAsia="zh-CN"/>
        </w:rPr>
        <w:t>、客户交易流水查询</w:t>
      </w:r>
      <w:r>
        <w:rPr>
          <w:rFonts w:hint="eastAsia" w:ascii="仿宋" w:hAnsi="仿宋" w:eastAsia="仿宋" w:cs="仿宋"/>
          <w:color w:val="auto"/>
          <w:sz w:val="24"/>
          <w:highlight w:val="yellow"/>
        </w:rPr>
        <w:t>、客户基础信息查询等查询</w:t>
      </w:r>
      <w:r>
        <w:rPr>
          <w:rFonts w:hint="eastAsia" w:ascii="仿宋" w:hAnsi="仿宋" w:eastAsia="仿宋" w:cs="仿宋"/>
          <w:color w:val="auto"/>
          <w:sz w:val="24"/>
          <w:highlight w:val="yellow"/>
          <w:lang w:eastAsia="zh-CN"/>
        </w:rPr>
        <w:t>；</w:t>
      </w:r>
    </w:p>
    <w:p>
      <w:pPr>
        <w:numPr>
          <w:ilvl w:val="0"/>
          <w:numId w:val="30"/>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报表统计与报送：支持监管数据的报送</w:t>
      </w:r>
      <w:r>
        <w:rPr>
          <w:rFonts w:hint="eastAsia" w:ascii="仿宋" w:hAnsi="仿宋" w:eastAsia="仿宋" w:cs="仿宋"/>
          <w:color w:val="auto"/>
          <w:sz w:val="24"/>
          <w:highlight w:val="yellow"/>
          <w:lang w:eastAsia="zh-CN"/>
        </w:rPr>
        <w:t>；支持机构、</w:t>
      </w:r>
      <w:r>
        <w:rPr>
          <w:rFonts w:hint="eastAsia" w:ascii="仿宋" w:hAnsi="仿宋" w:eastAsia="仿宋" w:cs="仿宋"/>
          <w:color w:val="auto"/>
          <w:sz w:val="24"/>
          <w:highlight w:val="yellow"/>
        </w:rPr>
        <w:t>客户经理业绩</w:t>
      </w:r>
      <w:r>
        <w:rPr>
          <w:rFonts w:hint="eastAsia" w:ascii="仿宋" w:hAnsi="仿宋" w:eastAsia="仿宋" w:cs="仿宋"/>
          <w:color w:val="auto"/>
          <w:sz w:val="24"/>
          <w:highlight w:val="yellow"/>
          <w:lang w:eastAsia="zh-CN"/>
        </w:rPr>
        <w:t>、中收、产品销量、产品存量（余额、日均）、产品级销售、资金轧差、客户数变动、签约、风险等级等统计，并包括汇总和明细查询导出等；</w:t>
      </w:r>
    </w:p>
    <w:p>
      <w:pPr>
        <w:autoSpaceDE w:val="0"/>
        <w:autoSpaceDN w:val="0"/>
        <w:adjustRightInd w:val="0"/>
        <w:spacing w:line="360" w:lineRule="auto"/>
        <w:ind w:right="210"/>
        <w:rPr>
          <w:rFonts w:hint="eastAsia" w:ascii="仿宋" w:hAnsi="仿宋" w:eastAsia="仿宋" w:cs="仿宋"/>
          <w:color w:val="auto"/>
          <w:sz w:val="24"/>
          <w:highlight w:val="yellow"/>
        </w:rPr>
      </w:pPr>
    </w:p>
    <w:p>
      <w:pPr>
        <w:spacing w:line="360" w:lineRule="auto"/>
        <w:ind w:firstLine="482" w:firstLineChars="200"/>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七、信托</w:t>
      </w:r>
      <w:r>
        <w:rPr>
          <w:rFonts w:hint="eastAsia" w:ascii="仿宋" w:hAnsi="仿宋" w:eastAsia="仿宋" w:cs="仿宋"/>
          <w:b/>
          <w:bCs/>
          <w:color w:val="auto"/>
          <w:sz w:val="24"/>
          <w:szCs w:val="24"/>
          <w:highlight w:val="yellow"/>
          <w:lang w:val="en-US" w:eastAsia="zh-CN"/>
        </w:rPr>
        <w:t>代销</w:t>
      </w:r>
      <w:r>
        <w:rPr>
          <w:rFonts w:hint="eastAsia" w:ascii="仿宋" w:hAnsi="仿宋" w:eastAsia="仿宋" w:cs="仿宋"/>
          <w:b/>
          <w:bCs/>
          <w:color w:val="auto"/>
          <w:sz w:val="24"/>
          <w:szCs w:val="24"/>
          <w:highlight w:val="yellow"/>
          <w:lang w:eastAsia="zh-CN"/>
        </w:rPr>
        <w:t>系统</w:t>
      </w:r>
    </w:p>
    <w:p>
      <w:pPr>
        <w:spacing w:line="360" w:lineRule="auto"/>
        <w:ind w:firstLine="480" w:firstLineChars="20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支持</w:t>
      </w:r>
      <w:r>
        <w:rPr>
          <w:rFonts w:hint="eastAsia" w:ascii="仿宋" w:hAnsi="仿宋" w:eastAsia="仿宋" w:cs="仿宋"/>
          <w:color w:val="auto"/>
          <w:sz w:val="24"/>
          <w:highlight w:val="yellow"/>
          <w:lang w:val="en-US" w:eastAsia="zh-CN"/>
        </w:rPr>
        <w:t>信托公司</w:t>
      </w:r>
      <w:r>
        <w:rPr>
          <w:rFonts w:hint="eastAsia" w:ascii="仿宋" w:hAnsi="仿宋" w:eastAsia="仿宋" w:cs="仿宋"/>
          <w:color w:val="auto"/>
          <w:sz w:val="24"/>
          <w:highlight w:val="yellow"/>
        </w:rPr>
        <w:t>所提供的</w:t>
      </w:r>
      <w:r>
        <w:rPr>
          <w:rFonts w:hint="eastAsia" w:ascii="仿宋" w:hAnsi="仿宋" w:eastAsia="仿宋" w:cs="仿宋"/>
          <w:color w:val="auto"/>
          <w:sz w:val="24"/>
          <w:highlight w:val="yellow"/>
          <w:lang w:val="en-US" w:eastAsia="zh-CN"/>
        </w:rPr>
        <w:t>信托</w:t>
      </w:r>
      <w:r>
        <w:rPr>
          <w:rFonts w:hint="eastAsia" w:ascii="仿宋" w:hAnsi="仿宋" w:eastAsia="仿宋" w:cs="仿宋"/>
          <w:color w:val="auto"/>
          <w:sz w:val="24"/>
          <w:highlight w:val="yellow"/>
        </w:rPr>
        <w:t>产品代销</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产品包括封闭式净值型产品、产品周期式净值型产品（定开）、货币式净值型产品（T+1）、客户周期型净值型产品、私募净值型产品等所有产品类型，对接行内渠道包括</w:t>
      </w:r>
      <w:r>
        <w:rPr>
          <w:rFonts w:hint="eastAsia" w:ascii="仿宋" w:hAnsi="仿宋" w:eastAsia="仿宋" w:cs="仿宋"/>
          <w:color w:val="auto"/>
          <w:sz w:val="24"/>
          <w:highlight w:val="yellow"/>
          <w:lang w:eastAsia="zh-CN"/>
        </w:rPr>
        <w:t>但不限于柜面、</w:t>
      </w:r>
      <w:r>
        <w:rPr>
          <w:rFonts w:hint="eastAsia" w:ascii="仿宋" w:hAnsi="仿宋" w:eastAsia="仿宋" w:cs="仿宋"/>
          <w:color w:val="auto"/>
          <w:sz w:val="24"/>
          <w:highlight w:val="yellow"/>
          <w:lang w:val="en-US" w:eastAsia="zh-CN"/>
        </w:rPr>
        <w:t>VTM、</w:t>
      </w:r>
      <w:r>
        <w:rPr>
          <w:rFonts w:hint="eastAsia" w:ascii="仿宋" w:hAnsi="仿宋" w:eastAsia="仿宋" w:cs="仿宋"/>
          <w:color w:val="auto"/>
          <w:sz w:val="24"/>
          <w:highlight w:val="yellow"/>
        </w:rPr>
        <w:t>对公网银，个人及对公手机银行</w:t>
      </w:r>
      <w:r>
        <w:rPr>
          <w:rFonts w:hint="eastAsia" w:ascii="仿宋" w:hAnsi="仿宋" w:eastAsia="仿宋" w:cs="仿宋"/>
          <w:color w:val="auto"/>
          <w:sz w:val="24"/>
          <w:highlight w:val="yellow"/>
          <w:lang w:val="en-US" w:eastAsia="zh-CN"/>
        </w:rPr>
        <w:t>，</w:t>
      </w:r>
      <w:r>
        <w:rPr>
          <w:rFonts w:hint="eastAsia" w:ascii="仿宋" w:hAnsi="仿宋" w:eastAsia="仿宋" w:cs="仿宋"/>
          <w:color w:val="auto"/>
          <w:sz w:val="24"/>
          <w:highlight w:val="yellow"/>
        </w:rPr>
        <w:t>功能模块包括：</w:t>
      </w:r>
    </w:p>
    <w:p>
      <w:pPr>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lang w:val="en-US" w:eastAsia="zh-CN"/>
        </w:rPr>
        <w:t>信托公司</w:t>
      </w:r>
      <w:r>
        <w:rPr>
          <w:rFonts w:hint="eastAsia" w:ascii="仿宋" w:hAnsi="仿宋" w:eastAsia="仿宋" w:cs="仿宋"/>
          <w:color w:val="auto"/>
          <w:sz w:val="24"/>
          <w:highlight w:val="yellow"/>
        </w:rPr>
        <w:t>管理：支持</w:t>
      </w:r>
      <w:r>
        <w:rPr>
          <w:rFonts w:hint="eastAsia" w:ascii="仿宋" w:hAnsi="仿宋" w:eastAsia="仿宋" w:cs="仿宋"/>
          <w:color w:val="auto"/>
          <w:sz w:val="24"/>
          <w:highlight w:val="yellow"/>
          <w:shd w:val="clear" w:fill="FFFF00"/>
        </w:rPr>
        <w:t>对</w:t>
      </w:r>
      <w:r>
        <w:rPr>
          <w:rFonts w:hint="eastAsia" w:ascii="仿宋" w:hAnsi="仿宋" w:eastAsia="仿宋" w:cs="仿宋"/>
          <w:color w:val="auto"/>
          <w:sz w:val="24"/>
          <w:szCs w:val="22"/>
          <w:highlight w:val="yellow"/>
        </w:rPr>
        <w:t>接</w:t>
      </w:r>
      <w:r>
        <w:rPr>
          <w:rFonts w:hint="eastAsia" w:ascii="仿宋" w:hAnsi="仿宋" w:eastAsia="仿宋" w:cs="仿宋"/>
          <w:color w:val="auto"/>
          <w:sz w:val="24"/>
          <w:szCs w:val="22"/>
          <w:highlight w:val="yellow"/>
          <w:lang w:eastAsia="zh-CN"/>
        </w:rPr>
        <w:t>至少</w:t>
      </w:r>
      <w:r>
        <w:rPr>
          <w:rFonts w:hint="eastAsia" w:ascii="仿宋" w:hAnsi="仿宋" w:eastAsia="仿宋" w:cs="仿宋"/>
          <w:color w:val="auto"/>
          <w:sz w:val="24"/>
          <w:szCs w:val="22"/>
          <w:highlight w:val="yellow"/>
          <w:lang w:val="en-US" w:eastAsia="zh-CN"/>
        </w:rPr>
        <w:t>5家信托</w:t>
      </w:r>
      <w:r>
        <w:rPr>
          <w:rFonts w:hint="eastAsia" w:ascii="仿宋" w:hAnsi="仿宋" w:eastAsia="仿宋" w:cs="仿宋"/>
          <w:color w:val="auto"/>
          <w:sz w:val="24"/>
          <w:highlight w:val="yellow"/>
          <w:shd w:val="clear" w:fill="FFFF00"/>
          <w:lang w:val="en-US" w:eastAsia="zh-CN"/>
        </w:rPr>
        <w:t>公司</w:t>
      </w:r>
      <w:r>
        <w:rPr>
          <w:rFonts w:hint="eastAsia" w:ascii="仿宋" w:hAnsi="仿宋" w:eastAsia="仿宋" w:cs="仿宋"/>
          <w:color w:val="auto"/>
          <w:sz w:val="24"/>
          <w:highlight w:val="yellow"/>
        </w:rPr>
        <w:t>，提供</w:t>
      </w:r>
      <w:r>
        <w:rPr>
          <w:rFonts w:hint="eastAsia" w:ascii="仿宋" w:hAnsi="仿宋" w:eastAsia="仿宋" w:cs="仿宋"/>
          <w:color w:val="auto"/>
          <w:sz w:val="24"/>
          <w:highlight w:val="yellow"/>
          <w:lang w:val="en-US" w:eastAsia="zh-CN"/>
        </w:rPr>
        <w:t>公司</w:t>
      </w:r>
      <w:r>
        <w:rPr>
          <w:rFonts w:hint="eastAsia" w:ascii="仿宋" w:hAnsi="仿宋" w:eastAsia="仿宋" w:cs="仿宋"/>
          <w:color w:val="auto"/>
          <w:sz w:val="24"/>
          <w:highlight w:val="yellow"/>
        </w:rPr>
        <w:t>的准入管理、</w:t>
      </w:r>
      <w:r>
        <w:rPr>
          <w:rFonts w:hint="eastAsia" w:ascii="仿宋" w:hAnsi="仿宋" w:eastAsia="仿宋" w:cs="仿宋"/>
          <w:color w:val="auto"/>
          <w:sz w:val="24"/>
          <w:highlight w:val="yellow"/>
          <w:lang w:val="en-US" w:eastAsia="zh-CN"/>
        </w:rPr>
        <w:t>公司</w:t>
      </w:r>
      <w:r>
        <w:rPr>
          <w:rFonts w:hint="eastAsia" w:ascii="仿宋" w:hAnsi="仿宋" w:eastAsia="仿宋" w:cs="仿宋"/>
          <w:color w:val="auto"/>
          <w:sz w:val="24"/>
          <w:highlight w:val="yellow"/>
        </w:rPr>
        <w:t>费率、折扣及分润的管理等</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完成</w:t>
      </w:r>
      <w:r>
        <w:rPr>
          <w:rFonts w:hint="eastAsia" w:ascii="仿宋" w:hAnsi="仿宋" w:eastAsia="仿宋" w:cs="仿宋"/>
          <w:color w:val="auto"/>
          <w:sz w:val="24"/>
          <w:highlight w:val="yellow"/>
          <w:lang w:eastAsia="zh-CN"/>
        </w:rPr>
        <w:t>多</w:t>
      </w:r>
      <w:r>
        <w:rPr>
          <w:rFonts w:hint="eastAsia" w:ascii="仿宋" w:hAnsi="仿宋" w:eastAsia="仿宋" w:cs="仿宋"/>
          <w:color w:val="auto"/>
          <w:sz w:val="24"/>
          <w:highlight w:val="yellow"/>
        </w:rPr>
        <w:t>家</w:t>
      </w:r>
      <w:r>
        <w:rPr>
          <w:rFonts w:hint="eastAsia" w:ascii="仿宋" w:hAnsi="仿宋" w:eastAsia="仿宋" w:cs="仿宋"/>
          <w:color w:val="auto"/>
          <w:sz w:val="24"/>
          <w:highlight w:val="yellow"/>
          <w:lang w:val="en-US" w:eastAsia="zh-CN"/>
        </w:rPr>
        <w:t>信托公司</w:t>
      </w:r>
      <w:r>
        <w:rPr>
          <w:rFonts w:hint="eastAsia" w:ascii="仿宋" w:hAnsi="仿宋" w:eastAsia="仿宋" w:cs="仿宋"/>
          <w:color w:val="auto"/>
          <w:sz w:val="24"/>
          <w:highlight w:val="yellow"/>
        </w:rPr>
        <w:t>的接入。</w:t>
      </w:r>
    </w:p>
    <w:p>
      <w:pPr>
        <w:pStyle w:val="124"/>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客户管理：支持客户基本信息、客户签约管理和客户风险评级管理</w:t>
      </w:r>
      <w:r>
        <w:rPr>
          <w:rFonts w:hint="eastAsia" w:ascii="仿宋" w:hAnsi="仿宋" w:eastAsia="仿宋" w:cs="仿宋"/>
          <w:color w:val="auto"/>
          <w:sz w:val="24"/>
          <w:highlight w:val="yellow"/>
          <w:lang w:eastAsia="zh-CN"/>
        </w:rPr>
        <w:t>等，</w:t>
      </w:r>
      <w:r>
        <w:rPr>
          <w:rFonts w:hint="eastAsia" w:ascii="仿宋" w:hAnsi="仿宋" w:eastAsia="仿宋" w:cs="仿宋"/>
          <w:color w:val="auto"/>
          <w:sz w:val="24"/>
          <w:highlight w:val="yellow"/>
        </w:rPr>
        <w:t>与本行的客户信息同步；</w:t>
      </w:r>
    </w:p>
    <w:p>
      <w:pPr>
        <w:pStyle w:val="124"/>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客户经理管理：</w:t>
      </w:r>
      <w:r>
        <w:rPr>
          <w:rFonts w:hint="eastAsia" w:ascii="仿宋" w:hAnsi="仿宋" w:eastAsia="仿宋" w:cs="仿宋"/>
          <w:color w:val="auto"/>
          <w:sz w:val="24"/>
          <w:highlight w:val="yellow"/>
          <w:lang w:eastAsia="zh-CN"/>
        </w:rPr>
        <w:t>支持</w:t>
      </w:r>
      <w:r>
        <w:rPr>
          <w:rFonts w:hint="eastAsia" w:ascii="仿宋" w:hAnsi="仿宋" w:eastAsia="仿宋" w:cs="仿宋"/>
          <w:color w:val="auto"/>
          <w:sz w:val="24"/>
          <w:highlight w:val="yellow"/>
        </w:rPr>
        <w:t>客户经理</w:t>
      </w:r>
      <w:r>
        <w:rPr>
          <w:rFonts w:hint="eastAsia" w:ascii="仿宋" w:hAnsi="仿宋" w:eastAsia="仿宋" w:cs="仿宋"/>
          <w:color w:val="auto"/>
          <w:sz w:val="24"/>
          <w:highlight w:val="yellow"/>
          <w:lang w:eastAsia="zh-CN"/>
        </w:rPr>
        <w:t>基本</w:t>
      </w:r>
      <w:r>
        <w:rPr>
          <w:rFonts w:hint="eastAsia" w:ascii="仿宋" w:hAnsi="仿宋" w:eastAsia="仿宋" w:cs="仿宋"/>
          <w:color w:val="auto"/>
          <w:sz w:val="24"/>
          <w:highlight w:val="yellow"/>
        </w:rPr>
        <w:t>信息、业绩查询及统计、客户经理销售资质管理等；</w:t>
      </w:r>
    </w:p>
    <w:p>
      <w:pPr>
        <w:pStyle w:val="124"/>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产品管理：支持产品</w:t>
      </w:r>
      <w:r>
        <w:rPr>
          <w:rFonts w:hint="eastAsia" w:ascii="仿宋" w:hAnsi="仿宋" w:eastAsia="仿宋" w:cs="仿宋"/>
          <w:color w:val="auto"/>
          <w:sz w:val="24"/>
          <w:highlight w:val="yellow"/>
          <w:lang w:eastAsia="zh-CN"/>
        </w:rPr>
        <w:t>准入</w:t>
      </w:r>
      <w:r>
        <w:rPr>
          <w:rFonts w:hint="eastAsia" w:ascii="仿宋" w:hAnsi="仿宋" w:eastAsia="仿宋" w:cs="仿宋"/>
          <w:color w:val="auto"/>
          <w:sz w:val="24"/>
          <w:highlight w:val="yellow"/>
        </w:rPr>
        <w:t>管理、</w:t>
      </w:r>
      <w:r>
        <w:rPr>
          <w:rFonts w:hint="eastAsia" w:ascii="仿宋" w:hAnsi="仿宋" w:eastAsia="仿宋" w:cs="仿宋"/>
          <w:color w:val="auto"/>
          <w:sz w:val="24"/>
          <w:highlight w:val="yellow"/>
          <w:lang w:eastAsia="zh-CN"/>
        </w:rPr>
        <w:t>净值</w:t>
      </w:r>
      <w:r>
        <w:rPr>
          <w:rFonts w:hint="eastAsia" w:ascii="仿宋" w:hAnsi="仿宋" w:eastAsia="仿宋" w:cs="仿宋"/>
          <w:color w:val="auto"/>
          <w:sz w:val="24"/>
          <w:highlight w:val="yellow"/>
        </w:rPr>
        <w:t>行情</w:t>
      </w:r>
      <w:r>
        <w:rPr>
          <w:rFonts w:hint="eastAsia" w:ascii="仿宋" w:hAnsi="仿宋" w:eastAsia="仿宋" w:cs="仿宋"/>
          <w:color w:val="auto"/>
          <w:sz w:val="24"/>
          <w:highlight w:val="yellow"/>
          <w:lang w:eastAsia="zh-CN"/>
        </w:rPr>
        <w:t>信息管理</w:t>
      </w:r>
      <w:r>
        <w:rPr>
          <w:rFonts w:hint="eastAsia" w:ascii="仿宋" w:hAnsi="仿宋" w:eastAsia="仿宋" w:cs="仿宋"/>
          <w:color w:val="auto"/>
          <w:sz w:val="24"/>
          <w:highlight w:val="yellow"/>
        </w:rPr>
        <w:t>等，支持净值、收益等产品行情信息</w:t>
      </w:r>
      <w:r>
        <w:rPr>
          <w:rFonts w:hint="eastAsia" w:ascii="仿宋" w:hAnsi="仿宋" w:eastAsia="仿宋" w:cs="仿宋"/>
          <w:color w:val="auto"/>
          <w:sz w:val="24"/>
          <w:highlight w:val="yellow"/>
          <w:lang w:eastAsia="zh-CN"/>
        </w:rPr>
        <w:t>的</w:t>
      </w:r>
      <w:r>
        <w:rPr>
          <w:rFonts w:hint="eastAsia" w:ascii="仿宋" w:hAnsi="仿宋" w:eastAsia="仿宋" w:cs="仿宋"/>
          <w:color w:val="auto"/>
          <w:sz w:val="24"/>
          <w:highlight w:val="yellow"/>
        </w:rPr>
        <w:t>实时更新展示。</w:t>
      </w:r>
    </w:p>
    <w:p>
      <w:pPr>
        <w:pStyle w:val="124"/>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销售管理：支持各</w:t>
      </w:r>
      <w:r>
        <w:rPr>
          <w:rFonts w:hint="eastAsia" w:ascii="仿宋" w:hAnsi="仿宋" w:eastAsia="仿宋" w:cs="仿宋"/>
          <w:color w:val="auto"/>
          <w:sz w:val="24"/>
          <w:highlight w:val="yellow"/>
          <w:lang w:eastAsia="zh-CN"/>
        </w:rPr>
        <w:t>产品</w:t>
      </w:r>
      <w:r>
        <w:rPr>
          <w:rFonts w:hint="eastAsia" w:ascii="仿宋" w:hAnsi="仿宋" w:eastAsia="仿宋" w:cs="仿宋"/>
          <w:color w:val="auto"/>
          <w:sz w:val="24"/>
          <w:highlight w:val="yellow"/>
        </w:rPr>
        <w:t>的销售，支持客户账户管理、销售文档管理、产品上下架管理、资金处理、销售额度、销售费率等的管理，支持按区域、客群、机构、人员、渠道、邀约码、黑白名单等销售控制，满足销售适当性等目前已有的监管要求，实现产品的多维度实时销售管理。支持产品灵活赎回，包括设置产品默认赎回功能</w:t>
      </w:r>
      <w:r>
        <w:rPr>
          <w:rFonts w:hint="eastAsia" w:ascii="仿宋" w:hAnsi="仿宋" w:eastAsia="仿宋" w:cs="仿宋"/>
          <w:color w:val="auto"/>
          <w:sz w:val="24"/>
          <w:highlight w:val="yellow"/>
          <w:lang w:eastAsia="zh-CN"/>
        </w:rPr>
        <w:t>并</w:t>
      </w:r>
      <w:r>
        <w:rPr>
          <w:rFonts w:hint="eastAsia" w:ascii="仿宋" w:hAnsi="仿宋" w:eastAsia="仿宋" w:cs="仿宋"/>
          <w:color w:val="auto"/>
          <w:sz w:val="24"/>
          <w:highlight w:val="yellow"/>
        </w:rPr>
        <w:t>支持客户二次选择</w:t>
      </w:r>
      <w:r>
        <w:rPr>
          <w:rFonts w:hint="eastAsia" w:ascii="仿宋" w:hAnsi="仿宋" w:eastAsia="仿宋" w:cs="仿宋"/>
          <w:color w:val="auto"/>
          <w:sz w:val="24"/>
          <w:highlight w:val="yellow"/>
          <w:lang w:eastAsia="zh-CN"/>
        </w:rPr>
        <w:t>确认，</w:t>
      </w:r>
      <w:r>
        <w:rPr>
          <w:rFonts w:hint="eastAsia" w:ascii="仿宋" w:hAnsi="仿宋" w:eastAsia="仿宋" w:cs="仿宋"/>
          <w:color w:val="auto"/>
          <w:sz w:val="24"/>
          <w:highlight w:val="yellow"/>
        </w:rPr>
        <w:t>以及支持客户在指定日期预约赎回等</w:t>
      </w:r>
      <w:r>
        <w:rPr>
          <w:rFonts w:hint="eastAsia" w:ascii="仿宋" w:hAnsi="仿宋" w:eastAsia="仿宋" w:cs="仿宋"/>
          <w:color w:val="auto"/>
          <w:sz w:val="24"/>
          <w:highlight w:val="yellow"/>
          <w:lang w:eastAsia="zh-CN"/>
        </w:rPr>
        <w:t>；支持开放期、到期客户信息提醒，支持开放期、成立到期日、账单日等特殊节点管理员提醒。</w:t>
      </w:r>
    </w:p>
    <w:p>
      <w:pPr>
        <w:pStyle w:val="124"/>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客户账单：支持客户账单</w:t>
      </w:r>
      <w:r>
        <w:rPr>
          <w:rFonts w:hint="eastAsia" w:ascii="仿宋" w:hAnsi="仿宋" w:eastAsia="仿宋" w:cs="仿宋"/>
          <w:color w:val="auto"/>
          <w:sz w:val="24"/>
          <w:highlight w:val="yellow"/>
          <w:lang w:eastAsia="zh-CN"/>
        </w:rPr>
        <w:t>定期自动</w:t>
      </w:r>
      <w:r>
        <w:rPr>
          <w:rFonts w:hint="eastAsia" w:ascii="仿宋" w:hAnsi="仿宋" w:eastAsia="仿宋" w:cs="仿宋"/>
          <w:color w:val="auto"/>
          <w:sz w:val="24"/>
          <w:highlight w:val="yellow"/>
        </w:rPr>
        <w:t>生成并推送至微信、</w:t>
      </w:r>
      <w:r>
        <w:rPr>
          <w:rFonts w:hint="eastAsia" w:ascii="仿宋" w:hAnsi="仿宋" w:eastAsia="仿宋" w:cs="仿宋"/>
          <w:color w:val="auto"/>
          <w:sz w:val="24"/>
          <w:highlight w:val="yellow"/>
          <w:lang w:eastAsia="zh-CN"/>
        </w:rPr>
        <w:t>短信、</w:t>
      </w:r>
      <w:r>
        <w:rPr>
          <w:rFonts w:hint="eastAsia" w:ascii="仿宋" w:hAnsi="仿宋" w:eastAsia="仿宋" w:cs="仿宋"/>
          <w:color w:val="auto"/>
          <w:sz w:val="24"/>
          <w:highlight w:val="yellow"/>
        </w:rPr>
        <w:t>手机银行等</w:t>
      </w:r>
      <w:r>
        <w:rPr>
          <w:rFonts w:hint="eastAsia" w:ascii="仿宋" w:hAnsi="仿宋" w:eastAsia="仿宋" w:cs="仿宋"/>
          <w:color w:val="auto"/>
          <w:sz w:val="24"/>
          <w:highlight w:val="yellow"/>
          <w:lang w:eastAsia="zh-CN"/>
        </w:rPr>
        <w:t>相关</w:t>
      </w:r>
      <w:r>
        <w:rPr>
          <w:rFonts w:hint="eastAsia" w:ascii="仿宋" w:hAnsi="仿宋" w:eastAsia="仿宋" w:cs="仿宋"/>
          <w:color w:val="auto"/>
          <w:sz w:val="24"/>
          <w:highlight w:val="yellow"/>
        </w:rPr>
        <w:t>渠道</w:t>
      </w:r>
      <w:r>
        <w:rPr>
          <w:rFonts w:hint="eastAsia" w:ascii="仿宋" w:hAnsi="仿宋" w:eastAsia="仿宋" w:cs="仿宋"/>
          <w:color w:val="auto"/>
          <w:sz w:val="24"/>
          <w:highlight w:val="yellow"/>
          <w:lang w:eastAsia="zh-CN"/>
        </w:rPr>
        <w:t>，并支持打印；</w:t>
      </w:r>
    </w:p>
    <w:p>
      <w:pPr>
        <w:pStyle w:val="124"/>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对账</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：支持销售数据、核心账务、客户份额等</w:t>
      </w:r>
      <w:r>
        <w:rPr>
          <w:rFonts w:hint="eastAsia" w:ascii="仿宋" w:hAnsi="仿宋" w:eastAsia="仿宋" w:cs="仿宋"/>
          <w:color w:val="auto"/>
          <w:sz w:val="24"/>
          <w:highlight w:val="yellow"/>
          <w:lang w:eastAsia="zh-CN"/>
        </w:rPr>
        <w:t>的</w:t>
      </w:r>
      <w:r>
        <w:rPr>
          <w:rFonts w:hint="eastAsia" w:ascii="仿宋" w:hAnsi="仿宋" w:eastAsia="仿宋" w:cs="仿宋"/>
          <w:color w:val="auto"/>
          <w:sz w:val="24"/>
          <w:highlight w:val="yellow"/>
        </w:rPr>
        <w:t>对账及检查，以及差错处理等，对账结果</w:t>
      </w:r>
      <w:r>
        <w:rPr>
          <w:rFonts w:hint="eastAsia" w:ascii="仿宋" w:hAnsi="仿宋" w:eastAsia="仿宋" w:cs="仿宋"/>
          <w:color w:val="auto"/>
          <w:sz w:val="24"/>
          <w:highlight w:val="yellow"/>
          <w:lang w:eastAsia="zh-CN"/>
        </w:rPr>
        <w:t>通知提醒等</w:t>
      </w:r>
      <w:r>
        <w:rPr>
          <w:rFonts w:hint="eastAsia" w:ascii="仿宋" w:hAnsi="仿宋" w:eastAsia="仿宋" w:cs="仿宋"/>
          <w:color w:val="auto"/>
          <w:sz w:val="24"/>
          <w:highlight w:val="yellow"/>
        </w:rPr>
        <w:t>；</w:t>
      </w:r>
    </w:p>
    <w:p>
      <w:pPr>
        <w:pStyle w:val="124"/>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清算</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：支持认申购、兑付赎回、分红等资金的全额、轧差核对、划转等，支持手续费自动计算并划转</w:t>
      </w:r>
      <w:r>
        <w:rPr>
          <w:rFonts w:hint="eastAsia" w:ascii="仿宋" w:hAnsi="仿宋" w:eastAsia="仿宋" w:cs="仿宋"/>
          <w:color w:val="auto"/>
          <w:sz w:val="24"/>
          <w:highlight w:val="yellow"/>
          <w:lang w:eastAsia="zh-CN"/>
        </w:rPr>
        <w:t>相关</w:t>
      </w:r>
      <w:r>
        <w:rPr>
          <w:rFonts w:hint="eastAsia" w:ascii="仿宋" w:hAnsi="仿宋" w:eastAsia="仿宋" w:cs="仿宋"/>
          <w:color w:val="auto"/>
          <w:sz w:val="24"/>
          <w:highlight w:val="yellow"/>
        </w:rPr>
        <w:t>账户</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支持灵活</w:t>
      </w:r>
      <w:r>
        <w:rPr>
          <w:rFonts w:hint="eastAsia" w:ascii="仿宋" w:hAnsi="仿宋" w:eastAsia="仿宋" w:cs="仿宋"/>
          <w:color w:val="auto"/>
          <w:sz w:val="24"/>
          <w:highlight w:val="yellow"/>
          <w:lang w:eastAsia="zh-CN"/>
        </w:rPr>
        <w:t>、可视化</w:t>
      </w:r>
      <w:r>
        <w:rPr>
          <w:rFonts w:hint="eastAsia" w:ascii="仿宋" w:hAnsi="仿宋" w:eastAsia="仿宋" w:cs="仿宋"/>
          <w:color w:val="auto"/>
          <w:sz w:val="24"/>
          <w:highlight w:val="yellow"/>
        </w:rPr>
        <w:t>的清算模式，支持日终清算、日启清算、日间清算等，提供批量自动化清算流程，支持可重复执行，断点重跑</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清算通知提醒、清算配置</w:t>
      </w:r>
      <w:r>
        <w:rPr>
          <w:rFonts w:hint="eastAsia" w:ascii="仿宋" w:hAnsi="仿宋" w:eastAsia="仿宋" w:cs="仿宋"/>
          <w:color w:val="auto"/>
          <w:sz w:val="24"/>
          <w:highlight w:val="yellow"/>
          <w:lang w:eastAsia="zh-CN"/>
        </w:rPr>
        <w:t>等；</w:t>
      </w:r>
    </w:p>
    <w:p>
      <w:pPr>
        <w:pStyle w:val="124"/>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政策监管：支持监管机构要求的销售金额起点控制、私募产品购买人数控制、私募产品投资冷静期、业绩比较基准、合格投资者、非居民涉税及最新中登接口等适配，以及满足监管和法律法规等的相关要求。</w:t>
      </w:r>
    </w:p>
    <w:p>
      <w:pPr>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查询</w:t>
      </w:r>
      <w:r>
        <w:rPr>
          <w:rFonts w:hint="eastAsia" w:ascii="仿宋" w:hAnsi="仿宋" w:eastAsia="仿宋" w:cs="仿宋"/>
          <w:color w:val="auto"/>
          <w:sz w:val="24"/>
          <w:highlight w:val="yellow"/>
          <w:lang w:eastAsia="zh-CN"/>
        </w:rPr>
        <w:t>管理</w:t>
      </w:r>
      <w:r>
        <w:rPr>
          <w:rFonts w:hint="eastAsia" w:ascii="仿宋" w:hAnsi="仿宋" w:eastAsia="仿宋" w:cs="仿宋"/>
          <w:color w:val="auto"/>
          <w:sz w:val="24"/>
          <w:highlight w:val="yellow"/>
        </w:rPr>
        <w:t>：提供产品信息</w:t>
      </w:r>
      <w:r>
        <w:rPr>
          <w:rFonts w:hint="eastAsia" w:ascii="仿宋" w:hAnsi="仿宋" w:eastAsia="仿宋" w:cs="仿宋"/>
          <w:color w:val="auto"/>
          <w:sz w:val="24"/>
          <w:highlight w:val="yellow"/>
          <w:lang w:eastAsia="zh-CN"/>
        </w:rPr>
        <w:t>查询、</w:t>
      </w:r>
      <w:r>
        <w:rPr>
          <w:rFonts w:hint="eastAsia" w:ascii="仿宋" w:hAnsi="仿宋" w:eastAsia="仿宋" w:cs="仿宋"/>
          <w:color w:val="auto"/>
          <w:sz w:val="24"/>
          <w:highlight w:val="yellow"/>
        </w:rPr>
        <w:t>在售产品信息查询、预售产品信息查询、资金兑付明细查询、资金归集明细查询、客户账户信息查询、对账单</w:t>
      </w:r>
      <w:r>
        <w:rPr>
          <w:rFonts w:hint="eastAsia" w:ascii="仿宋" w:hAnsi="仿宋" w:eastAsia="仿宋" w:cs="仿宋"/>
          <w:color w:val="auto"/>
          <w:sz w:val="24"/>
          <w:highlight w:val="yellow"/>
          <w:lang w:eastAsia="zh-CN"/>
        </w:rPr>
        <w:t>查询</w:t>
      </w:r>
      <w:r>
        <w:rPr>
          <w:rFonts w:hint="eastAsia" w:ascii="仿宋" w:hAnsi="仿宋" w:eastAsia="仿宋" w:cs="仿宋"/>
          <w:color w:val="auto"/>
          <w:sz w:val="24"/>
          <w:highlight w:val="yellow"/>
        </w:rPr>
        <w:t>打印、客户基础信息查询等查询</w:t>
      </w:r>
      <w:r>
        <w:rPr>
          <w:rFonts w:hint="eastAsia" w:ascii="仿宋" w:hAnsi="仿宋" w:eastAsia="仿宋" w:cs="仿宋"/>
          <w:color w:val="auto"/>
          <w:sz w:val="24"/>
          <w:highlight w:val="yellow"/>
          <w:lang w:eastAsia="zh-CN"/>
        </w:rPr>
        <w:t>；</w:t>
      </w:r>
    </w:p>
    <w:p>
      <w:pPr>
        <w:numPr>
          <w:ilvl w:val="0"/>
          <w:numId w:val="31"/>
        </w:numPr>
        <w:spacing w:line="360" w:lineRule="auto"/>
        <w:ind w:left="0" w:leftChars="0" w:firstLine="400" w:firstLineChars="0"/>
        <w:jc w:val="left"/>
        <w:rPr>
          <w:rFonts w:hint="eastAsia" w:ascii="仿宋" w:hAnsi="仿宋" w:eastAsia="仿宋" w:cs="仿宋"/>
          <w:color w:val="auto"/>
          <w:sz w:val="24"/>
          <w:highlight w:val="yellow"/>
        </w:rPr>
      </w:pPr>
      <w:r>
        <w:rPr>
          <w:rFonts w:hint="eastAsia" w:ascii="仿宋" w:hAnsi="仿宋" w:eastAsia="仿宋" w:cs="仿宋"/>
          <w:color w:val="auto"/>
          <w:sz w:val="24"/>
          <w:highlight w:val="yellow"/>
        </w:rPr>
        <w:t>报表统计与报送：支持监管数据的报送；</w:t>
      </w:r>
      <w:r>
        <w:rPr>
          <w:rFonts w:hint="eastAsia" w:ascii="仿宋" w:hAnsi="仿宋" w:eastAsia="仿宋" w:cs="仿宋"/>
          <w:color w:val="auto"/>
          <w:sz w:val="24"/>
          <w:highlight w:val="yellow"/>
          <w:lang w:eastAsia="zh-CN"/>
        </w:rPr>
        <w:t>支持机构、</w:t>
      </w:r>
      <w:r>
        <w:rPr>
          <w:rFonts w:hint="eastAsia" w:ascii="仿宋" w:hAnsi="仿宋" w:eastAsia="仿宋" w:cs="仿宋"/>
          <w:color w:val="auto"/>
          <w:sz w:val="24"/>
          <w:highlight w:val="yellow"/>
        </w:rPr>
        <w:t>客户经理业绩</w:t>
      </w:r>
      <w:r>
        <w:rPr>
          <w:rFonts w:hint="eastAsia" w:ascii="仿宋" w:hAnsi="仿宋" w:eastAsia="仿宋" w:cs="仿宋"/>
          <w:color w:val="auto"/>
          <w:sz w:val="24"/>
          <w:highlight w:val="yellow"/>
          <w:lang w:eastAsia="zh-CN"/>
        </w:rPr>
        <w:t>、中收、产品销量、产品存量（余额、日均）、产品级销售、资金轧差、客户数变动、签约、风险等级等统计，并包括汇总和明细查询导出等；</w:t>
      </w:r>
    </w:p>
    <w:p>
      <w:pPr>
        <w:numPr>
          <w:ilvl w:val="0"/>
          <w:numId w:val="0"/>
        </w:numPr>
        <w:spacing w:line="360" w:lineRule="auto"/>
        <w:jc w:val="left"/>
        <w:rPr>
          <w:rFonts w:hint="eastAsia" w:ascii="仿宋" w:hAnsi="仿宋" w:eastAsia="仿宋" w:cs="仿宋"/>
          <w:color w:val="auto"/>
          <w:sz w:val="24"/>
          <w:highlight w:val="yellow"/>
          <w:lang w:eastAsia="zh-CN"/>
        </w:rPr>
      </w:pPr>
    </w:p>
    <w:p>
      <w:pPr>
        <w:spacing w:line="360" w:lineRule="auto"/>
        <w:ind w:firstLine="482" w:firstLineChars="200"/>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八、理财分销系统</w:t>
      </w:r>
    </w:p>
    <w:p>
      <w:pPr>
        <w:numPr>
          <w:ilvl w:val="0"/>
          <w:numId w:val="32"/>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销售机构维护</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支持销售银行基本信息维护功能，设置理财产品允许销售的销售银行，同时通过销售银行管理模块可以设置各销售机构可销售的产品额度等参数</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可维护销售银行相关产品准入控制，提供销售银行相关账户维护功能，支持由 TA 发起对接托管行进行相关资金划拨（如兑付、分红、手续费管理费、销售费等的划拨），支持不同销售银行与 TA 对接可灵活配置为不同接口版本，批量清算支持分销售商单独清算</w:t>
      </w:r>
      <w:r>
        <w:rPr>
          <w:rFonts w:hint="eastAsia" w:ascii="仿宋" w:hAnsi="仿宋" w:eastAsia="仿宋" w:cs="仿宋"/>
          <w:color w:val="auto"/>
          <w:sz w:val="24"/>
          <w:highlight w:val="yellow"/>
          <w:lang w:eastAsia="zh-CN"/>
        </w:rPr>
        <w:t>；</w:t>
      </w:r>
    </w:p>
    <w:p>
      <w:pPr>
        <w:numPr>
          <w:ilvl w:val="0"/>
          <w:numId w:val="32"/>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产品管理</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业务人员通过产品管理模块对产品基本信息进行维护，</w:t>
      </w:r>
      <w:r>
        <w:rPr>
          <w:rFonts w:hint="eastAsia" w:ascii="仿宋" w:hAnsi="仿宋" w:eastAsia="仿宋" w:cs="仿宋"/>
          <w:color w:val="auto"/>
          <w:sz w:val="24"/>
          <w:szCs w:val="24"/>
          <w:highlight w:val="yellow"/>
          <w:lang w:eastAsia="zh-CN"/>
        </w:rPr>
        <w:t>支持产品新建模版化导入，</w:t>
      </w:r>
      <w:r>
        <w:rPr>
          <w:rFonts w:hint="eastAsia" w:ascii="仿宋" w:hAnsi="仿宋" w:eastAsia="仿宋" w:cs="仿宋"/>
          <w:color w:val="auto"/>
          <w:sz w:val="24"/>
          <w:highlight w:val="yellow"/>
        </w:rPr>
        <w:t>同时维护相关的工作日等，产品管理模块下的相关参数维护完成后，产品才能进入可销售阶段</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产品类型支持封闭式收益、封闭净值、T+N 开放式净值（N&gt;=0）、T+N开放式收益类（N&gt;=0）、T+N 货币产品（N&gt;=0）、周期型收益类、周期型净值类、客户周期收益类、客户周期净值类产品，同时包含分段收益、多维度收益、定期结转、额度管理等理财产品特性功能</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费用管理</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支持手续费、管理费、销售费计算</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支持针对一只产品内客户采取不同维度的计费方式</w:t>
      </w:r>
      <w:r>
        <w:rPr>
          <w:rFonts w:hint="eastAsia" w:ascii="仿宋" w:hAnsi="仿宋" w:eastAsia="仿宋" w:cs="仿宋"/>
          <w:color w:val="auto"/>
          <w:sz w:val="24"/>
          <w:highlight w:val="yellow"/>
          <w:lang w:eastAsia="zh-CN"/>
        </w:rPr>
        <w:t>；</w:t>
      </w:r>
    </w:p>
    <w:p>
      <w:pPr>
        <w:numPr>
          <w:ilvl w:val="0"/>
          <w:numId w:val="32"/>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实时TA功能</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提供实时 TA 功能，提供包括 T+0 购买、赎回、实时转让、司法查冻扣、开户、销户等功能，与销售行直连实时交互并直接登记过户</w:t>
      </w:r>
      <w:r>
        <w:rPr>
          <w:rFonts w:hint="eastAsia" w:ascii="仿宋" w:hAnsi="仿宋" w:eastAsia="仿宋" w:cs="仿宋"/>
          <w:color w:val="auto"/>
          <w:sz w:val="24"/>
          <w:highlight w:val="yellow"/>
          <w:lang w:eastAsia="zh-CN"/>
        </w:rPr>
        <w:t>；</w:t>
      </w:r>
    </w:p>
    <w:p>
      <w:pPr>
        <w:numPr>
          <w:ilvl w:val="0"/>
          <w:numId w:val="32"/>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清算管理</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针对代销机构的交易申请数据进行清算确认、和资管系统进行数据交互、产品成立处理、产品募集失败处理、产品分红处理、产品清盘处理等业务</w:t>
      </w:r>
      <w:r>
        <w:rPr>
          <w:rFonts w:hint="eastAsia" w:ascii="仿宋" w:hAnsi="仿宋" w:eastAsia="仿宋" w:cs="仿宋"/>
          <w:color w:val="auto"/>
          <w:sz w:val="24"/>
          <w:highlight w:val="yellow"/>
          <w:lang w:eastAsia="zh-CN"/>
        </w:rPr>
        <w:t>；</w:t>
      </w:r>
    </w:p>
    <w:p>
      <w:pPr>
        <w:numPr>
          <w:ilvl w:val="0"/>
          <w:numId w:val="32"/>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资金划拨：代销机构的募集资金，产品成立时需要从募集验资账户划拨到托管行托管账户；产品相关费用，需要按照划付频率划拨至各代销机构</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资金划拨模块提供相应的划拨功能，方便业务人员进行资金划付</w:t>
      </w:r>
      <w:r>
        <w:rPr>
          <w:rFonts w:hint="eastAsia" w:ascii="仿宋" w:hAnsi="仿宋" w:eastAsia="仿宋" w:cs="仿宋"/>
          <w:color w:val="auto"/>
          <w:sz w:val="24"/>
          <w:highlight w:val="yellow"/>
          <w:lang w:eastAsia="zh-CN"/>
        </w:rPr>
        <w:t>；</w:t>
      </w:r>
    </w:p>
    <w:p>
      <w:pPr>
        <w:numPr>
          <w:ilvl w:val="0"/>
          <w:numId w:val="32"/>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接口功能</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支持与不同销售系统的对接，支持与行内资管系统的对接</w:t>
      </w:r>
      <w:r>
        <w:rPr>
          <w:rFonts w:hint="eastAsia" w:ascii="仿宋" w:hAnsi="仿宋" w:eastAsia="仿宋" w:cs="仿宋"/>
          <w:color w:val="auto"/>
          <w:sz w:val="24"/>
          <w:highlight w:val="yellow"/>
          <w:lang w:eastAsia="zh-CN"/>
        </w:rPr>
        <w:t>；</w:t>
      </w:r>
    </w:p>
    <w:p>
      <w:pPr>
        <w:numPr>
          <w:ilvl w:val="0"/>
          <w:numId w:val="32"/>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查询报表模块</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提供各维度的报表查询，涉及相关申请流水、确认流水、客户信息、份额情况、手续费分成、分红、兑付汇总等各种维度查询功能。提供在售产品实时销售情况的查询</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支持各产品费用查询，包括超额管理费、销售费、申赎费用等</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支持各理财产品客户持仓情况</w:t>
      </w:r>
      <w:r>
        <w:rPr>
          <w:rFonts w:hint="eastAsia" w:ascii="仿宋" w:hAnsi="仿宋" w:eastAsia="仿宋" w:cs="仿宋"/>
          <w:color w:val="auto"/>
          <w:sz w:val="24"/>
          <w:highlight w:val="yellow"/>
          <w:lang w:eastAsia="zh-CN"/>
        </w:rPr>
        <w:t>查询；</w:t>
      </w:r>
      <w:r>
        <w:rPr>
          <w:rFonts w:hint="eastAsia" w:ascii="仿宋" w:hAnsi="仿宋" w:eastAsia="仿宋" w:cs="仿宋"/>
          <w:color w:val="auto"/>
          <w:sz w:val="24"/>
          <w:highlight w:val="yellow"/>
        </w:rPr>
        <w:t>支持按地区、各分支行、自营/代销、销售渠道（手机银行、vtm、直销银行等）、客户（零售、对公、私行等）等不同</w:t>
      </w:r>
      <w:r>
        <w:rPr>
          <w:rFonts w:hint="eastAsia" w:ascii="仿宋" w:hAnsi="仿宋" w:eastAsia="仿宋" w:cs="仿宋"/>
          <w:color w:val="auto"/>
          <w:sz w:val="24"/>
          <w:highlight w:val="yellow"/>
          <w:lang w:eastAsia="zh-CN"/>
        </w:rPr>
        <w:t>维</w:t>
      </w:r>
      <w:r>
        <w:rPr>
          <w:rFonts w:hint="eastAsia" w:ascii="仿宋" w:hAnsi="仿宋" w:eastAsia="仿宋" w:cs="仿宋"/>
          <w:color w:val="auto"/>
          <w:sz w:val="24"/>
          <w:highlight w:val="yellow"/>
        </w:rPr>
        <w:t>度统计理财规模</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支持监管报表自动化和行内个性化报表的需求。</w:t>
      </w:r>
    </w:p>
    <w:p>
      <w:pPr>
        <w:numPr>
          <w:ilvl w:val="0"/>
          <w:numId w:val="32"/>
        </w:numPr>
        <w:autoSpaceDE w:val="0"/>
        <w:autoSpaceDN w:val="0"/>
        <w:adjustRightInd w:val="0"/>
        <w:spacing w:line="360" w:lineRule="auto"/>
        <w:ind w:left="0" w:leftChars="0" w:right="210" w:firstLine="400" w:firstLineChars="0"/>
        <w:rPr>
          <w:rFonts w:hint="eastAsia" w:ascii="仿宋" w:hAnsi="仿宋" w:eastAsia="仿宋" w:cs="仿宋"/>
          <w:color w:val="auto"/>
          <w:sz w:val="24"/>
          <w:highlight w:val="yellow"/>
        </w:rPr>
      </w:pPr>
      <w:r>
        <w:rPr>
          <w:rFonts w:hint="eastAsia" w:ascii="仿宋" w:hAnsi="仿宋" w:eastAsia="仿宋" w:cs="仿宋"/>
          <w:color w:val="auto"/>
          <w:sz w:val="24"/>
          <w:highlight w:val="yellow"/>
        </w:rPr>
        <w:t>数据报送</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rPr>
        <w:t>支持与如中债报备等银行业监管相关数据系统对接，提供相关数据给到对应系统</w:t>
      </w:r>
      <w:r>
        <w:rPr>
          <w:rFonts w:hint="eastAsia" w:ascii="仿宋" w:hAnsi="仿宋" w:eastAsia="仿宋" w:cs="仿宋"/>
          <w:color w:val="auto"/>
          <w:sz w:val="24"/>
          <w:highlight w:val="yellow"/>
          <w:lang w:eastAsia="zh-CN"/>
        </w:rPr>
        <w:t>。</w:t>
      </w:r>
    </w:p>
    <w:p>
      <w:pPr>
        <w:pStyle w:val="2"/>
        <w:ind w:left="0" w:firstLine="0" w:firstLineChars="0"/>
        <w:rPr>
          <w:rFonts w:hint="eastAsia" w:ascii="仿宋" w:hAnsi="仿宋" w:eastAsia="仿宋" w:cs="仿宋"/>
          <w:color w:val="auto"/>
          <w:lang w:val="en-US" w:eastAsia="zh-CN"/>
        </w:rPr>
      </w:pPr>
    </w:p>
    <w:p>
      <w:pPr>
        <w:pStyle w:val="2"/>
        <w:ind w:left="0" w:firstLineChars="0"/>
        <w:rPr>
          <w:rFonts w:hint="eastAsia" w:ascii="仿宋" w:hAnsi="仿宋" w:eastAsia="仿宋" w:cs="仿宋"/>
          <w:b/>
          <w:bCs/>
          <w:color w:val="auto"/>
          <w:sz w:val="28"/>
          <w:szCs w:val="28"/>
          <w:lang w:val="en-US" w:eastAsia="zh-CN"/>
        </w:rPr>
      </w:pPr>
      <w:r>
        <w:rPr>
          <w:rFonts w:hint="eastAsia" w:ascii="仿宋" w:hAnsi="仿宋" w:eastAsia="仿宋" w:cs="仿宋"/>
          <w:b/>
          <w:bCs/>
          <w:snapToGrid/>
          <w:color w:val="auto"/>
          <w:sz w:val="28"/>
          <w:szCs w:val="28"/>
        </w:rPr>
        <w:t>技术及性能要求</w:t>
      </w:r>
      <w:r>
        <w:rPr>
          <w:rFonts w:hint="eastAsia" w:ascii="仿宋" w:hAnsi="仿宋" w:eastAsia="仿宋" w:cs="仿宋"/>
          <w:b/>
          <w:bCs/>
          <w:snapToGrid/>
          <w:color w:val="auto"/>
          <w:sz w:val="28"/>
          <w:szCs w:val="28"/>
          <w:lang w:eastAsia="zh-CN"/>
        </w:rPr>
        <w:t>：</w:t>
      </w:r>
    </w:p>
    <w:p>
      <w:pPr>
        <w:numPr>
          <w:ilvl w:val="-1"/>
          <w:numId w:val="0"/>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lang w:val="en-US" w:eastAsia="zh-CN"/>
        </w:rPr>
        <w:t>1、</w:t>
      </w:r>
      <w:r>
        <w:rPr>
          <w:rFonts w:hint="eastAsia" w:ascii="仿宋" w:hAnsi="仿宋" w:eastAsia="仿宋" w:cs="仿宋"/>
          <w:color w:val="auto"/>
          <w:sz w:val="28"/>
        </w:rPr>
        <w:t>全面满足我行系统架构</w:t>
      </w:r>
      <w:r>
        <w:rPr>
          <w:rFonts w:hint="eastAsia" w:ascii="仿宋" w:hAnsi="仿宋" w:eastAsia="仿宋" w:cs="仿宋"/>
          <w:color w:val="auto"/>
          <w:sz w:val="28"/>
          <w:lang w:val="en-US" w:eastAsia="zh-CN"/>
        </w:rPr>
        <w:t>要求，对接我行中台架构体系</w:t>
      </w:r>
      <w:r>
        <w:rPr>
          <w:rFonts w:hint="eastAsia" w:ascii="仿宋" w:hAnsi="仿宋" w:eastAsia="仿宋" w:cs="仿宋"/>
          <w:color w:val="auto"/>
          <w:sz w:val="28"/>
          <w:szCs w:val="28"/>
          <w:lang w:val="en-US" w:eastAsia="zh-CN"/>
        </w:rPr>
        <w:t>。</w:t>
      </w:r>
    </w:p>
    <w:p>
      <w:pPr>
        <w:numPr>
          <w:ilvl w:val="-1"/>
          <w:numId w:val="0"/>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lang w:val="en-US" w:eastAsia="zh-CN"/>
        </w:rPr>
        <w:t>2、</w:t>
      </w:r>
      <w:r>
        <w:rPr>
          <w:rFonts w:hint="eastAsia" w:ascii="仿宋" w:hAnsi="仿宋" w:eastAsia="仿宋" w:cs="仿宋"/>
          <w:color w:val="auto"/>
          <w:sz w:val="28"/>
        </w:rPr>
        <w:t>数据标准化处理，以满足我行标准化建设需求</w:t>
      </w:r>
      <w:r>
        <w:rPr>
          <w:rFonts w:hint="eastAsia" w:ascii="仿宋" w:hAnsi="仿宋" w:eastAsia="仿宋" w:cs="仿宋"/>
          <w:color w:val="auto"/>
          <w:sz w:val="28"/>
          <w:lang w:eastAsia="zh-CN"/>
        </w:rPr>
        <w:t>，</w:t>
      </w:r>
      <w:r>
        <w:rPr>
          <w:rFonts w:hint="eastAsia" w:ascii="仿宋" w:hAnsi="仿宋" w:eastAsia="仿宋" w:cs="仿宋"/>
          <w:color w:val="auto"/>
          <w:sz w:val="28"/>
          <w:lang w:val="en-US" w:eastAsia="zh-CN"/>
        </w:rPr>
        <w:t>投标方系统中实现表级和接口级字段落标（包括：长度、码值）</w:t>
      </w:r>
      <w:r>
        <w:rPr>
          <w:rFonts w:hint="eastAsia" w:ascii="仿宋" w:hAnsi="仿宋" w:eastAsia="仿宋" w:cs="仿宋"/>
          <w:color w:val="auto"/>
          <w:sz w:val="28"/>
          <w:szCs w:val="28"/>
          <w:lang w:val="en-US" w:eastAsia="zh-CN"/>
        </w:rPr>
        <w:t>。</w:t>
      </w:r>
    </w:p>
    <w:p>
      <w:pPr>
        <w:numPr>
          <w:ilvl w:val="-1"/>
          <w:numId w:val="0"/>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3、投标方系统</w:t>
      </w:r>
      <w:r>
        <w:rPr>
          <w:rFonts w:hint="eastAsia" w:ascii="仿宋" w:hAnsi="仿宋" w:eastAsia="仿宋" w:cs="仿宋"/>
          <w:color w:val="auto"/>
          <w:sz w:val="28"/>
          <w:szCs w:val="28"/>
        </w:rPr>
        <w:t>符合我行代码规范管理需求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可通过本行代码扫描工具准出。</w:t>
      </w:r>
    </w:p>
    <w:p>
      <w:pPr>
        <w:numPr>
          <w:ilvl w:val="-1"/>
          <w:numId w:val="0"/>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lang w:val="en-US" w:eastAsia="zh-CN"/>
        </w:rPr>
        <w:t>4、</w:t>
      </w:r>
      <w:r>
        <w:rPr>
          <w:rFonts w:hint="eastAsia" w:ascii="仿宋" w:hAnsi="仿宋" w:eastAsia="仿宋" w:cs="仿宋"/>
          <w:color w:val="auto"/>
          <w:sz w:val="28"/>
        </w:rPr>
        <w:t>标准化接口，对接我行ESB接口</w:t>
      </w:r>
      <w:r>
        <w:rPr>
          <w:rFonts w:hint="eastAsia" w:ascii="仿宋" w:hAnsi="仿宋" w:eastAsia="仿宋" w:cs="仿宋"/>
          <w:color w:val="auto"/>
          <w:sz w:val="28"/>
          <w:lang w:eastAsia="zh-CN"/>
        </w:rPr>
        <w:t>，</w:t>
      </w:r>
      <w:r>
        <w:rPr>
          <w:rFonts w:hint="eastAsia" w:ascii="仿宋" w:hAnsi="仿宋" w:eastAsia="仿宋" w:cs="仿宋"/>
          <w:color w:val="auto"/>
          <w:sz w:val="28"/>
          <w:lang w:val="en-US" w:eastAsia="zh-CN"/>
        </w:rPr>
        <w:t>报文格式遵循本行代码规范，</w:t>
      </w:r>
      <w:r>
        <w:rPr>
          <w:rFonts w:hint="eastAsia" w:ascii="仿宋" w:hAnsi="仿宋" w:eastAsia="仿宋" w:cs="仿宋"/>
          <w:color w:val="auto"/>
          <w:sz w:val="28"/>
          <w:szCs w:val="22"/>
          <w:lang w:val="en-US" w:eastAsia="zh-CN"/>
        </w:rPr>
        <w:t>包含全局</w:t>
      </w:r>
      <w:r>
        <w:rPr>
          <w:rFonts w:hint="eastAsia" w:ascii="仿宋" w:hAnsi="仿宋" w:eastAsia="仿宋" w:cs="仿宋"/>
          <w:b w:val="0"/>
          <w:bCs w:val="0"/>
          <w:snapToGrid/>
          <w:color w:val="auto"/>
          <w:sz w:val="28"/>
          <w:szCs w:val="22"/>
          <w:highlight w:val="none"/>
          <w:lang w:val="en-US" w:eastAsia="zh-CN"/>
        </w:rPr>
        <w:t>流水号</w:t>
      </w:r>
      <w:r>
        <w:rPr>
          <w:rFonts w:hint="eastAsia" w:ascii="仿宋" w:hAnsi="仿宋" w:eastAsia="仿宋" w:cs="仿宋"/>
          <w:b w:val="0"/>
          <w:bCs w:val="0"/>
          <w:snapToGrid/>
          <w:color w:val="auto"/>
          <w:sz w:val="28"/>
          <w:szCs w:val="22"/>
          <w:lang w:val="en-US" w:eastAsia="zh-CN"/>
        </w:rPr>
        <w:t>、请求流水号</w:t>
      </w:r>
      <w:r>
        <w:rPr>
          <w:rFonts w:hint="eastAsia" w:ascii="仿宋" w:hAnsi="仿宋" w:eastAsia="仿宋" w:cs="仿宋"/>
          <w:b w:val="0"/>
          <w:bCs w:val="0"/>
          <w:snapToGrid/>
          <w:color w:val="auto"/>
          <w:sz w:val="28"/>
          <w:szCs w:val="22"/>
          <w:highlight w:val="none"/>
          <w:lang w:val="en-US" w:eastAsia="zh-CN"/>
        </w:rPr>
        <w:t>、系统编号、渠道号、错误代码</w:t>
      </w:r>
      <w:r>
        <w:rPr>
          <w:rFonts w:hint="eastAsia" w:ascii="仿宋" w:hAnsi="仿宋" w:eastAsia="仿宋" w:cs="仿宋"/>
          <w:b w:val="0"/>
          <w:bCs w:val="0"/>
          <w:snapToGrid/>
          <w:color w:val="auto"/>
          <w:sz w:val="28"/>
          <w:szCs w:val="22"/>
          <w:lang w:val="en-US" w:eastAsia="zh-CN"/>
        </w:rPr>
        <w:t>等</w:t>
      </w:r>
      <w:r>
        <w:rPr>
          <w:rFonts w:hint="eastAsia" w:ascii="仿宋" w:hAnsi="仿宋" w:eastAsia="仿宋" w:cs="仿宋"/>
          <w:color w:val="auto"/>
          <w:sz w:val="28"/>
          <w:szCs w:val="22"/>
          <w:lang w:val="en-US" w:eastAsia="zh-CN"/>
        </w:rPr>
        <w:t>。</w:t>
      </w:r>
    </w:p>
    <w:p>
      <w:pPr>
        <w:numPr>
          <w:ilvl w:val="-1"/>
          <w:numId w:val="0"/>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lang w:val="en-US" w:eastAsia="zh-CN"/>
        </w:rPr>
        <w:t>5、对接本行监控运维体系（包括：监控、告警等），遵循本行运维日志规范；投标方自带监控工具，须实现业务层面的异常监控。</w:t>
      </w:r>
    </w:p>
    <w:p>
      <w:pPr>
        <w:numPr>
          <w:ilvl w:val="-1"/>
          <w:numId w:val="0"/>
        </w:numPr>
        <w:autoSpaceDE/>
        <w:autoSpaceDN/>
        <w:adjustRightInd/>
        <w:ind w:left="0" w:firstLine="560" w:firstLineChars="200"/>
        <w:jc w:val="left"/>
        <w:rPr>
          <w:rFonts w:hint="eastAsia" w:ascii="仿宋" w:hAnsi="仿宋" w:eastAsia="仿宋" w:cs="仿宋"/>
          <w:color w:val="auto"/>
          <w:sz w:val="28"/>
        </w:rPr>
      </w:pPr>
      <w:r>
        <w:rPr>
          <w:rFonts w:hint="eastAsia" w:ascii="仿宋" w:hAnsi="仿宋" w:eastAsia="仿宋" w:cs="仿宋"/>
          <w:color w:val="auto"/>
          <w:sz w:val="28"/>
          <w:lang w:val="en-US" w:eastAsia="zh-CN"/>
        </w:rPr>
        <w:t>6、</w:t>
      </w:r>
      <w:r>
        <w:rPr>
          <w:rFonts w:hint="eastAsia" w:ascii="仿宋" w:hAnsi="仿宋" w:eastAsia="仿宋" w:cs="仿宋"/>
          <w:color w:val="auto"/>
          <w:sz w:val="28"/>
        </w:rPr>
        <w:t>批量数据按照我行批量数据处理规范</w:t>
      </w:r>
      <w:r>
        <w:rPr>
          <w:rFonts w:hint="eastAsia" w:ascii="仿宋" w:hAnsi="仿宋" w:eastAsia="仿宋" w:cs="仿宋"/>
          <w:color w:val="auto"/>
          <w:sz w:val="28"/>
          <w:lang w:val="en-US" w:eastAsia="zh-CN"/>
        </w:rPr>
        <w:t>处理</w:t>
      </w:r>
      <w:r>
        <w:rPr>
          <w:rFonts w:hint="eastAsia" w:ascii="仿宋" w:hAnsi="仿宋" w:eastAsia="仿宋" w:cs="仿宋"/>
          <w:color w:val="auto"/>
          <w:sz w:val="28"/>
          <w:szCs w:val="28"/>
          <w:lang w:val="en-US" w:eastAsia="zh-CN"/>
        </w:rPr>
        <w:t>。</w:t>
      </w:r>
    </w:p>
    <w:p>
      <w:pPr>
        <w:pStyle w:val="124"/>
        <w:numPr>
          <w:ilvl w:val="-1"/>
          <w:numId w:val="0"/>
        </w:numPr>
        <w:autoSpaceDE w:val="0"/>
        <w:autoSpaceDN w:val="0"/>
        <w:adjustRightInd w:val="0"/>
        <w:ind w:left="0" w:firstLine="560" w:firstLineChars="200"/>
        <w:jc w:val="left"/>
        <w:rPr>
          <w:rFonts w:hint="eastAsia" w:ascii="仿宋" w:hAnsi="仿宋" w:eastAsia="仿宋" w:cs="仿宋"/>
          <w:color w:val="auto"/>
          <w:sz w:val="28"/>
        </w:rPr>
      </w:pPr>
      <w:r>
        <w:rPr>
          <w:rFonts w:hint="eastAsia" w:ascii="仿宋" w:hAnsi="仿宋" w:eastAsia="仿宋" w:cs="仿宋"/>
          <w:color w:val="auto"/>
          <w:sz w:val="28"/>
          <w:lang w:val="en-US" w:eastAsia="zh-CN"/>
        </w:rPr>
        <w:t>7、</w:t>
      </w:r>
      <w:r>
        <w:rPr>
          <w:rFonts w:hint="eastAsia" w:ascii="仿宋" w:hAnsi="仿宋" w:eastAsia="仿宋" w:cs="仿宋"/>
          <w:color w:val="auto"/>
          <w:sz w:val="28"/>
        </w:rPr>
        <w:t>系统</w:t>
      </w:r>
      <w:r>
        <w:rPr>
          <w:rFonts w:hint="eastAsia" w:ascii="仿宋" w:hAnsi="仿宋" w:eastAsia="仿宋" w:cs="仿宋"/>
          <w:color w:val="auto"/>
          <w:sz w:val="28"/>
          <w:lang w:val="en-US" w:eastAsia="zh-CN"/>
        </w:rPr>
        <w:t>必须能够进行本地化编译构建，</w:t>
      </w:r>
      <w:r>
        <w:rPr>
          <w:rFonts w:hint="eastAsia" w:ascii="仿宋" w:hAnsi="仿宋" w:eastAsia="仿宋" w:cs="仿宋"/>
          <w:color w:val="auto"/>
          <w:sz w:val="28"/>
        </w:rPr>
        <w:t>必须全部本地化部署，且支持在虚拟化平台安装部署，满足开发、测试和生产多套环境使用。</w:t>
      </w:r>
    </w:p>
    <w:p>
      <w:pPr>
        <w:pStyle w:val="124"/>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0" w:firstLine="560" w:firstLineChars="200"/>
        <w:jc w:val="left"/>
        <w:textAlignment w:val="auto"/>
        <w:outlineLvl w:val="9"/>
        <w:rPr>
          <w:rFonts w:hint="eastAsia" w:ascii="仿宋" w:hAnsi="仿宋" w:eastAsia="仿宋" w:cs="仿宋"/>
          <w:b w:val="0"/>
          <w:bCs w:val="0"/>
          <w:color w:val="auto"/>
          <w:sz w:val="28"/>
          <w:szCs w:val="22"/>
          <w:lang w:val="en-US" w:eastAsia="zh-CN"/>
        </w:rPr>
      </w:pPr>
      <w:r>
        <w:rPr>
          <w:rFonts w:hint="eastAsia" w:ascii="仿宋" w:hAnsi="仿宋" w:eastAsia="仿宋" w:cs="仿宋"/>
          <w:b w:val="0"/>
          <w:bCs w:val="0"/>
          <w:color w:val="auto"/>
          <w:sz w:val="28"/>
          <w:szCs w:val="22"/>
          <w:lang w:val="en-US" w:eastAsia="zh-CN"/>
        </w:rPr>
        <w:t>8、系统使用数据库需支持国产数据库</w:t>
      </w:r>
      <w:r>
        <w:rPr>
          <w:rFonts w:hint="eastAsia" w:ascii="仿宋" w:hAnsi="仿宋" w:eastAsia="仿宋" w:cs="仿宋"/>
          <w:b w:val="0"/>
          <w:bCs w:val="0"/>
          <w:color w:val="auto"/>
          <w:sz w:val="28"/>
          <w:szCs w:val="22"/>
          <w:highlight w:val="none"/>
        </w:rPr>
        <w:t>OceanBase</w:t>
      </w:r>
      <w:r>
        <w:rPr>
          <w:rFonts w:hint="eastAsia" w:ascii="仿宋" w:hAnsi="仿宋" w:eastAsia="仿宋" w:cs="仿宋"/>
          <w:b w:val="0"/>
          <w:bCs w:val="0"/>
          <w:color w:val="auto"/>
          <w:sz w:val="28"/>
          <w:szCs w:val="2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b w:val="0"/>
          <w:bCs w:val="0"/>
          <w:color w:val="auto"/>
          <w:sz w:val="28"/>
          <w:szCs w:val="22"/>
          <w:highlight w:val="yellow"/>
          <w:vertAlign w:val="baseline"/>
          <w:lang w:val="en-US" w:eastAsia="zh-CN"/>
        </w:rPr>
      </w:pPr>
      <w:r>
        <w:rPr>
          <w:rFonts w:hint="eastAsia" w:ascii="仿宋" w:hAnsi="仿宋" w:eastAsia="仿宋" w:cs="仿宋"/>
          <w:b w:val="0"/>
          <w:bCs w:val="0"/>
          <w:color w:val="auto"/>
          <w:sz w:val="28"/>
          <w:szCs w:val="22"/>
          <w:lang w:val="en-US" w:eastAsia="zh-CN"/>
        </w:rPr>
        <w:t>9、</w:t>
      </w:r>
      <w:r>
        <w:rPr>
          <w:rFonts w:hint="eastAsia" w:ascii="仿宋" w:hAnsi="仿宋" w:eastAsia="仿宋" w:cs="仿宋"/>
          <w:b w:val="0"/>
          <w:bCs w:val="0"/>
          <w:color w:val="auto"/>
          <w:sz w:val="28"/>
          <w:szCs w:val="22"/>
          <w:highlight w:val="none"/>
          <w:lang w:val="en-US" w:eastAsia="zh-CN"/>
        </w:rPr>
        <w:t>系统支持横向扩展，高频交易单交易耗时不超过100ms，系统非账务类交易，如：产品列表持有查询等功能模块，并发性能至少达到1500tps以上。系统账务类交易，如:申购赎回等功能模块，并发性能至少达到1000</w:t>
      </w:r>
      <w:r>
        <w:rPr>
          <w:rFonts w:hint="eastAsia" w:ascii="仿宋" w:hAnsi="仿宋" w:eastAsia="仿宋" w:cs="仿宋"/>
          <w:b w:val="0"/>
          <w:bCs w:val="0"/>
          <w:color w:val="auto"/>
          <w:sz w:val="28"/>
          <w:szCs w:val="22"/>
          <w:highlight w:val="none"/>
          <w:vertAlign w:val="baseline"/>
          <w:lang w:val="en-US" w:eastAsia="zh-CN"/>
        </w:rPr>
        <w:t>tps以上。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11、投标产品应提供多法人解决方案，包括但不限于招标方兴福系投资管理行及村镇银行等多法人模式。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12、投标产品涉及相关研发过程应接入招标方DevOps平台。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13、投标产品涉及相关系统单元测试覆盖率应达到60%以上，覆盖率测算数据由招标方提供。</w:t>
      </w:r>
    </w:p>
    <w:p>
      <w:pPr>
        <w:numPr>
          <w:ilvl w:val="0"/>
          <w:numId w:val="0"/>
        </w:numPr>
        <w:autoSpaceDE/>
        <w:autoSpaceDN/>
        <w:adjustRightInd/>
        <w:spacing w:beforeLines="0" w:afterLines="0"/>
        <w:ind w:left="0" w:firstLine="560" w:firstLineChars="200"/>
        <w:jc w:val="both"/>
        <w:outlineLvl w:val="9"/>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14、系统需要满足我行安全管理相关要求，支持国产密码算法，登录认证接入我行统一身份认证系统。</w:t>
      </w:r>
    </w:p>
    <w:p>
      <w:pPr>
        <w:numPr>
          <w:ilvl w:val="0"/>
          <w:numId w:val="0"/>
        </w:numPr>
        <w:autoSpaceDE/>
        <w:autoSpaceDN/>
        <w:adjustRightInd/>
        <w:spacing w:beforeLines="0" w:afterLines="0"/>
        <w:ind w:left="0" w:firstLine="560" w:firstLineChars="200"/>
        <w:jc w:val="both"/>
        <w:outlineLvl w:val="9"/>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15、投标方应在产品上线后提供</w:t>
      </w:r>
      <w:r>
        <w:rPr>
          <w:rFonts w:hint="eastAsia" w:ascii="仿宋" w:hAnsi="仿宋" w:eastAsia="仿宋" w:cs="仿宋"/>
          <w:color w:val="auto"/>
          <w:sz w:val="28"/>
          <w:szCs w:val="22"/>
          <w:highlight w:val="none"/>
          <w:lang w:val="en-US" w:eastAsia="zh-CN"/>
        </w:rPr>
        <w:t>合同约定范围内的全部源码（含</w:t>
      </w:r>
      <w:r>
        <w:rPr>
          <w:rFonts w:hint="eastAsia" w:ascii="仿宋" w:hAnsi="仿宋" w:eastAsia="仿宋" w:cs="仿宋"/>
          <w:color w:val="auto"/>
          <w:sz w:val="28"/>
          <w:szCs w:val="22"/>
          <w:lang w:val="en-US" w:eastAsia="zh-CN"/>
        </w:rPr>
        <w:t>必须的代码注释）、项目文档（包括但不限于技术白皮书、需求文档、设计（数据库、接口）文档、部署手册、维护手册）等。</w:t>
      </w:r>
    </w:p>
    <w:p>
      <w:pPr>
        <w:widowControl/>
        <w:numPr>
          <w:ilvl w:val="0"/>
          <w:numId w:val="0"/>
        </w:numPr>
        <w:autoSpaceDE/>
        <w:autoSpaceDN/>
        <w:adjustRightInd/>
        <w:spacing w:beforeLines="0" w:afterLines="0"/>
        <w:ind w:left="0" w:firstLine="560" w:firstLineChars="200"/>
        <w:jc w:val="both"/>
        <w:outlineLvl w:val="9"/>
        <w:rPr>
          <w:rFonts w:hint="eastAsia" w:ascii="仿宋" w:hAnsi="仿宋" w:eastAsia="仿宋" w:cs="仿宋"/>
          <w:b w:val="0"/>
          <w:bCs w:val="0"/>
          <w:color w:val="auto"/>
          <w:sz w:val="28"/>
          <w:szCs w:val="22"/>
          <w:lang w:val="en-US" w:eastAsia="zh-CN"/>
        </w:rPr>
      </w:pPr>
      <w:r>
        <w:rPr>
          <w:rFonts w:hint="eastAsia" w:ascii="仿宋" w:hAnsi="仿宋" w:eastAsia="仿宋" w:cs="仿宋"/>
          <w:color w:val="auto"/>
          <w:sz w:val="28"/>
          <w:szCs w:val="22"/>
          <w:lang w:val="en-US" w:eastAsia="zh-CN"/>
        </w:rPr>
        <w:t>16、投标方产品软硬件其他相关要求参考附表：</w:t>
      </w:r>
      <w:r>
        <w:rPr>
          <w:rFonts w:hint="eastAsia" w:ascii="仿宋" w:hAnsi="仿宋" w:eastAsia="仿宋" w:cs="仿宋"/>
          <w:b w:val="0"/>
          <w:bCs w:val="0"/>
          <w:color w:val="auto"/>
          <w:sz w:val="28"/>
          <w:szCs w:val="22"/>
          <w:highlight w:val="none"/>
          <w:lang w:val="en-US" w:eastAsia="zh-CN"/>
        </w:rPr>
        <w:t>我行支持软硬件清单</w:t>
      </w:r>
      <w:r>
        <w:rPr>
          <w:rFonts w:hint="eastAsia" w:ascii="仿宋" w:hAnsi="仿宋" w:eastAsia="仿宋" w:cs="仿宋"/>
          <w:b w:val="0"/>
          <w:bCs w:val="0"/>
          <w:color w:val="auto"/>
          <w:sz w:val="28"/>
          <w:szCs w:val="22"/>
          <w:lang w:val="en-US" w:eastAsia="zh-CN"/>
        </w:rPr>
        <w:t>。</w:t>
      </w:r>
    </w:p>
    <w:p>
      <w:pPr>
        <w:pStyle w:val="2"/>
        <w:ind w:left="0" w:leftChars="0" w:firstLine="560" w:firstLineChars="200"/>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17、技术平台支持微服务、分布式架构体系，并提供与我行中台接边界划分及对接方案。</w:t>
      </w:r>
    </w:p>
    <w:p>
      <w:pPr>
        <w:pStyle w:val="2"/>
        <w:ind w:left="0" w:leftChars="0" w:firstLine="560" w:firstLineChars="200"/>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18、对接我行微服务治理平台，符合我行服务治理要求。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1、投标产品应提供多法人解决方案，包括但不限于招标方兴福系投资管理行及村镇银行等多法人模式。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3、投标产品涉及相关系统单元测试覆盖率应达到60%以上，覆盖率测算数据由招标方提供。</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rPr>
        <w:t>4、投标方应在产品上线后提供</w:t>
      </w:r>
      <w:r>
        <w:rPr>
          <w:rFonts w:hint="eastAsia" w:ascii="仿宋" w:hAnsi="仿宋" w:eastAsia="仿宋" w:cs="仿宋"/>
          <w:color w:val="auto"/>
          <w:sz w:val="28"/>
          <w:szCs w:val="28"/>
          <w:highlight w:val="none"/>
          <w:lang w:val="en-US" w:eastAsia="zh-CN"/>
        </w:rPr>
        <w:t>合同约定范围内的全部源码（含</w:t>
      </w:r>
      <w:r>
        <w:rPr>
          <w:rFonts w:hint="eastAsia" w:ascii="仿宋" w:hAnsi="仿宋" w:eastAsia="仿宋" w:cs="仿宋"/>
          <w:color w:val="auto"/>
          <w:sz w:val="28"/>
          <w:szCs w:val="28"/>
          <w:lang w:val="en-US" w:eastAsia="zh-CN"/>
        </w:rPr>
        <w:t>必须的代码注释）、项目文档（包括但不限于技术白皮书、需求文档、设计（数据库、接口）文档、部署手册、维护手册）等。</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i/>
          <w:iCs/>
          <w:color w:val="auto"/>
          <w:sz w:val="24"/>
          <w:szCs w:val="24"/>
          <w:highlight w:val="none"/>
          <w:lang w:val="en-US" w:eastAsia="zh-CN"/>
        </w:rPr>
      </w:pPr>
      <w:r>
        <w:rPr>
          <w:rFonts w:hint="eastAsia" w:ascii="仿宋" w:hAnsi="仿宋" w:eastAsia="仿宋" w:cs="仿宋"/>
          <w:b w:val="0"/>
          <w:bCs w:val="0"/>
          <w:i/>
          <w:iCs/>
          <w:color w:val="auto"/>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（一）所需软件清单</w:t>
      </w:r>
    </w:p>
    <w:tbl>
      <w:tblPr>
        <w:tblStyle w:val="33"/>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highlight w:val="yellow"/>
                <w:lang w:eastAsia="zh-CN"/>
              </w:rPr>
            </w:pPr>
            <w:r>
              <w:rPr>
                <w:rFonts w:hint="eastAsia" w:ascii="仿宋" w:hAnsi="仿宋" w:eastAsia="仿宋" w:cs="仿宋"/>
                <w:b/>
                <w:bCs/>
                <w:color w:val="auto"/>
                <w:sz w:val="21"/>
                <w:szCs w:val="21"/>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r>
              <w:rPr>
                <w:rFonts w:hint="eastAsia" w:ascii="仿宋" w:hAnsi="仿宋" w:eastAsia="仿宋" w:cs="仿宋"/>
                <w:i w:val="0"/>
                <w:iCs w:val="0"/>
                <w:color w:val="auto"/>
                <w:sz w:val="20"/>
                <w:szCs w:val="20"/>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3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所需硬件清单</w:t>
      </w:r>
    </w:p>
    <w:tbl>
      <w:tblPr>
        <w:tblStyle w:val="34"/>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22"/>
                <w:szCs w:val="22"/>
                <w:vertAlign w:val="baseline"/>
                <w:lang w:val="en-US" w:eastAsia="zh-CN"/>
              </w:rPr>
            </w:pPr>
            <w:r>
              <w:rPr>
                <w:rFonts w:hint="eastAsia" w:ascii="仿宋" w:hAnsi="仿宋" w:eastAsia="仿宋" w:cs="仿宋"/>
                <w:b/>
                <w:bCs/>
                <w:color w:val="auto"/>
                <w:sz w:val="22"/>
                <w:szCs w:val="22"/>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22"/>
                <w:szCs w:val="22"/>
                <w:vertAlign w:val="baseline"/>
                <w:lang w:val="en-US" w:eastAsia="zh-CN"/>
              </w:rPr>
            </w:pPr>
            <w:r>
              <w:rPr>
                <w:rFonts w:hint="eastAsia" w:ascii="仿宋" w:hAnsi="仿宋" w:eastAsia="仿宋" w:cs="仿宋"/>
                <w:b/>
                <w:bCs/>
                <w:color w:val="auto"/>
                <w:sz w:val="22"/>
                <w:szCs w:val="22"/>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22"/>
                <w:szCs w:val="22"/>
                <w:vertAlign w:val="baseline"/>
                <w:lang w:val="en-US" w:eastAsia="zh-CN"/>
              </w:rPr>
            </w:pPr>
            <w:r>
              <w:rPr>
                <w:rFonts w:hint="eastAsia" w:ascii="仿宋" w:hAnsi="仿宋" w:eastAsia="仿宋" w:cs="仿宋"/>
                <w:b/>
                <w:bCs/>
                <w:color w:val="auto"/>
                <w:sz w:val="22"/>
                <w:szCs w:val="22"/>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22"/>
                <w:szCs w:val="22"/>
                <w:vertAlign w:val="baseline"/>
                <w:lang w:val="en-US" w:eastAsia="zh-CN"/>
              </w:rPr>
            </w:pPr>
            <w:r>
              <w:rPr>
                <w:rFonts w:hint="eastAsia" w:ascii="仿宋" w:hAnsi="仿宋" w:eastAsia="仿宋" w:cs="仿宋"/>
                <w:b/>
                <w:bCs/>
                <w:color w:val="auto"/>
                <w:sz w:val="22"/>
                <w:szCs w:val="22"/>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22"/>
                <w:szCs w:val="22"/>
                <w:vertAlign w:val="baseline"/>
                <w:lang w:val="en-US" w:eastAsia="zh-CN"/>
              </w:rPr>
            </w:pPr>
            <w:r>
              <w:rPr>
                <w:rFonts w:hint="eastAsia" w:ascii="仿宋" w:hAnsi="仿宋" w:eastAsia="仿宋" w:cs="仿宋"/>
                <w:b/>
                <w:bCs/>
                <w:color w:val="auto"/>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r>
    </w:tbl>
    <w:p>
      <w:pPr>
        <w:numPr>
          <w:ilvl w:val="0"/>
          <w:numId w:val="0"/>
        </w:numPr>
        <w:adjustRightInd w:val="0"/>
        <w:ind w:leftChars="270"/>
        <w:rPr>
          <w:rFonts w:hint="eastAsia" w:ascii="仿宋" w:hAnsi="仿宋" w:eastAsia="仿宋" w:cs="仿宋"/>
          <w:snapToGrid w:val="0"/>
          <w:color w:val="auto"/>
          <w:sz w:val="22"/>
          <w:szCs w:val="22"/>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系统架构规划</w:t>
      </w:r>
    </w:p>
    <w:p>
      <w:pPr>
        <w:numPr>
          <w:ilvl w:val="0"/>
          <w:numId w:val="34"/>
        </w:numPr>
        <w:adjustRightInd w:val="0"/>
        <w:ind w:left="567" w:leftChars="270" w:firstLine="273" w:firstLineChars="0"/>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eastAsia="zh-CN"/>
        </w:rPr>
        <w:t>系统架构图</w:t>
      </w:r>
      <w:r>
        <w:rPr>
          <w:rFonts w:hint="eastAsia" w:ascii="仿宋" w:hAnsi="仿宋" w:eastAsia="仿宋" w:cs="仿宋"/>
          <w:snapToGrid w:val="0"/>
          <w:color w:val="auto"/>
          <w:sz w:val="22"/>
          <w:szCs w:val="22"/>
          <w:highlight w:val="none"/>
          <w:lang w:eastAsia="zh-CN"/>
        </w:rPr>
        <w:t>（我行已建立</w:t>
      </w:r>
      <w:r>
        <w:rPr>
          <w:rFonts w:hint="eastAsia" w:ascii="仿宋" w:hAnsi="仿宋" w:eastAsia="仿宋" w:cs="仿宋"/>
          <w:snapToGrid w:val="0"/>
          <w:color w:val="auto"/>
          <w:sz w:val="22"/>
          <w:szCs w:val="22"/>
          <w:highlight w:val="none"/>
          <w:lang w:val="en-US" w:eastAsia="zh-CN"/>
        </w:rPr>
        <w:t>ESB企业服务总线、数据总线、业务中台）</w:t>
      </w:r>
      <w:r>
        <w:rPr>
          <w:rFonts w:hint="eastAsia" w:ascii="仿宋" w:hAnsi="仿宋" w:eastAsia="仿宋" w:cs="仿宋"/>
          <w:snapToGrid w:val="0"/>
          <w:color w:val="auto"/>
          <w:sz w:val="28"/>
          <w:szCs w:val="28"/>
          <w:highlight w:val="none"/>
          <w:lang w:val="en-US" w:eastAsia="zh-CN"/>
        </w:rPr>
        <w:t xml:space="preserve">  </w:t>
      </w:r>
      <w:r>
        <w:rPr>
          <w:rFonts w:hint="eastAsia" w:ascii="仿宋" w:hAnsi="仿宋" w:eastAsia="仿宋" w:cs="仿宋"/>
          <w:snapToGrid w:val="0"/>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auto"/>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auto"/>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auto"/>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auto"/>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i w:val="0"/>
          <w:caps w:val="0"/>
          <w:color w:val="auto"/>
          <w:spacing w:val="0"/>
          <w:sz w:val="21"/>
          <w:szCs w:val="21"/>
          <w:shd w:val="clear" w:fill="FFFFFF"/>
          <w:lang w:eastAsia="zh-CN"/>
        </w:rPr>
      </w:pPr>
    </w:p>
    <w:p>
      <w:pPr>
        <w:numPr>
          <w:ilvl w:val="0"/>
          <w:numId w:val="34"/>
        </w:numPr>
        <w:adjustRightInd w:val="0"/>
        <w:ind w:left="567" w:leftChars="270" w:firstLine="273" w:firstLineChars="0"/>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eastAsia="zh-CN"/>
        </w:rPr>
        <w:t>硬件拓补图</w:t>
      </w:r>
      <w:r>
        <w:rPr>
          <w:rFonts w:hint="eastAsia" w:ascii="仿宋" w:hAnsi="仿宋" w:eastAsia="仿宋" w:cs="仿宋"/>
          <w:snapToGrid w:val="0"/>
          <w:color w:val="auto"/>
          <w:sz w:val="22"/>
          <w:szCs w:val="22"/>
          <w:lang w:eastAsia="zh-CN"/>
        </w:rPr>
        <w:t>（</w:t>
      </w:r>
      <w:r>
        <w:rPr>
          <w:rFonts w:hint="eastAsia" w:ascii="仿宋" w:hAnsi="仿宋" w:eastAsia="仿宋" w:cs="仿宋"/>
          <w:snapToGrid w:val="0"/>
          <w:color w:val="auto"/>
          <w:sz w:val="22"/>
          <w:szCs w:val="22"/>
          <w:lang w:val="en-US" w:eastAsia="zh-CN"/>
        </w:rPr>
        <w:t>请从附表</w:t>
      </w:r>
      <w:r>
        <w:rPr>
          <w:rFonts w:hint="eastAsia" w:ascii="仿宋" w:hAnsi="仿宋" w:eastAsia="仿宋" w:cs="仿宋"/>
          <w:b w:val="0"/>
          <w:bCs w:val="0"/>
          <w:color w:val="auto"/>
          <w:sz w:val="24"/>
          <w:szCs w:val="24"/>
          <w:highlight w:val="none"/>
          <w:lang w:val="en-US" w:eastAsia="zh-CN"/>
        </w:rPr>
        <w:t>我行</w:t>
      </w:r>
      <w:r>
        <w:rPr>
          <w:rFonts w:hint="eastAsia" w:ascii="仿宋" w:hAnsi="仿宋" w:eastAsia="仿宋" w:cs="仿宋"/>
          <w:snapToGrid w:val="0"/>
          <w:color w:val="auto"/>
          <w:sz w:val="22"/>
          <w:szCs w:val="22"/>
          <w:lang w:val="en-US" w:eastAsia="zh-CN"/>
        </w:rPr>
        <w:t>支持软硬件清单中选择所需硬件类型，超出范围的请标注）</w:t>
      </w: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（1）我行支持软件清单</w:t>
      </w:r>
    </w:p>
    <w:tbl>
      <w:tblPr>
        <w:tblStyle w:val="33"/>
        <w:tblpPr w:leftFromText="180" w:rightFromText="180" w:vertAnchor="text" w:horzAnchor="page" w:tblpX="2385" w:tblpY="190"/>
        <w:tblOverlap w:val="never"/>
        <w:tblW w:w="7936" w:type="dxa"/>
        <w:tblInd w:w="0" w:type="dxa"/>
        <w:tblLayout w:type="fixed"/>
        <w:tblCellMar>
          <w:top w:w="0" w:type="dxa"/>
          <w:left w:w="108" w:type="dxa"/>
          <w:bottom w:w="0" w:type="dxa"/>
          <w:right w:w="108" w:type="dxa"/>
        </w:tblCellMar>
      </w:tblPr>
      <w:tblGrid>
        <w:gridCol w:w="1011"/>
        <w:gridCol w:w="4203"/>
        <w:gridCol w:w="1361"/>
        <w:gridCol w:w="1361"/>
      </w:tblGrid>
      <w:tr>
        <w:tblPrEx>
          <w:tblLayout w:type="fixed"/>
          <w:tblCellMar>
            <w:top w:w="0" w:type="dxa"/>
            <w:left w:w="108" w:type="dxa"/>
            <w:bottom w:w="0" w:type="dxa"/>
            <w:right w:w="108" w:type="dxa"/>
          </w:tblCellMar>
        </w:tblPrEx>
        <w:trPr>
          <w:trHeight w:val="90" w:hRule="atLeast"/>
        </w:trPr>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highlight w:val="yellow"/>
                <w:lang w:eastAsia="zh-CN"/>
              </w:rPr>
            </w:pPr>
            <w:r>
              <w:rPr>
                <w:rFonts w:hint="eastAsia" w:ascii="仿宋" w:hAnsi="仿宋" w:eastAsia="仿宋" w:cs="仿宋"/>
                <w:b/>
                <w:bCs/>
                <w:color w:val="auto"/>
                <w:sz w:val="21"/>
                <w:szCs w:val="21"/>
                <w:lang w:eastAsia="zh-CN"/>
              </w:rPr>
              <w:t>类别</w:t>
            </w:r>
          </w:p>
        </w:tc>
        <w:tc>
          <w:tcPr>
            <w:tcW w:w="4203"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lang w:eastAsia="zh-CN"/>
              </w:rPr>
              <w:t>名称</w:t>
            </w:r>
          </w:p>
        </w:tc>
        <w:tc>
          <w:tcPr>
            <w:tcW w:w="1361"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优先级</w:t>
            </w:r>
          </w:p>
        </w:tc>
        <w:tc>
          <w:tcPr>
            <w:tcW w:w="1361"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01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color w:val="auto"/>
                <w:sz w:val="20"/>
                <w:szCs w:val="20"/>
                <w:lang w:eastAsia="zh-CN"/>
              </w:rPr>
            </w:pPr>
            <w:r>
              <w:rPr>
                <w:rFonts w:hint="eastAsia" w:ascii="仿宋" w:hAnsi="仿宋" w:eastAsia="仿宋" w:cs="仿宋"/>
                <w:i w:val="0"/>
                <w:iCs w:val="0"/>
                <w:color w:val="auto"/>
                <w:sz w:val="20"/>
                <w:szCs w:val="20"/>
                <w:highlight w:val="none"/>
                <w:lang w:eastAsia="zh-CN"/>
              </w:rPr>
              <w:t>操作系统</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SUSE LINUX11 SP3、SP4</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00" w:hRule="atLeast"/>
        </w:trPr>
        <w:tc>
          <w:tcPr>
            <w:tcW w:w="101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color w:val="auto"/>
                <w:sz w:val="20"/>
                <w:szCs w:val="20"/>
              </w:rPr>
            </w:pP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sz w:val="20"/>
                <w:szCs w:val="20"/>
                <w:lang w:val="zh-CN"/>
              </w:rPr>
              <w:t>WIN</w:t>
            </w:r>
            <w:r>
              <w:rPr>
                <w:rFonts w:hint="eastAsia" w:ascii="仿宋" w:hAnsi="仿宋" w:eastAsia="仿宋" w:cs="仿宋"/>
                <w:color w:val="auto"/>
                <w:sz w:val="20"/>
                <w:szCs w:val="20"/>
                <w:lang w:val="en-US" w:eastAsia="zh-CN"/>
              </w:rPr>
              <w:t xml:space="preserve">DOWS </w:t>
            </w:r>
            <w:r>
              <w:rPr>
                <w:rFonts w:hint="eastAsia" w:ascii="仿宋" w:hAnsi="仿宋" w:eastAsia="仿宋" w:cs="仿宋"/>
                <w:color w:val="auto"/>
                <w:sz w:val="20"/>
                <w:szCs w:val="20"/>
                <w:lang w:val="zh-CN"/>
              </w:rPr>
              <w:t>SERVER 2008/2012</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70" w:hRule="atLeast"/>
        </w:trPr>
        <w:tc>
          <w:tcPr>
            <w:tcW w:w="101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color w:val="auto"/>
                <w:sz w:val="20"/>
                <w:szCs w:val="20"/>
              </w:rPr>
            </w:pP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zh-CN"/>
              </w:rPr>
            </w:pPr>
            <w:r>
              <w:rPr>
                <w:rFonts w:hint="eastAsia" w:ascii="仿宋" w:hAnsi="仿宋" w:eastAsia="仿宋" w:cs="仿宋"/>
                <w:color w:val="auto"/>
                <w:sz w:val="20"/>
                <w:szCs w:val="20"/>
                <w:lang w:val="zh-CN"/>
              </w:rPr>
              <w:t xml:space="preserve">REDHAT </w:t>
            </w:r>
            <w:r>
              <w:rPr>
                <w:rFonts w:hint="eastAsia" w:ascii="仿宋" w:hAnsi="仿宋" w:eastAsia="仿宋" w:cs="仿宋"/>
                <w:color w:val="auto"/>
                <w:sz w:val="20"/>
                <w:szCs w:val="20"/>
                <w:lang w:val="en-US" w:eastAsia="zh-CN"/>
              </w:rPr>
              <w:t>LINUX 5.4/</w:t>
            </w:r>
            <w:r>
              <w:rPr>
                <w:rFonts w:hint="eastAsia" w:ascii="仿宋" w:hAnsi="仿宋" w:eastAsia="仿宋" w:cs="仿宋"/>
                <w:color w:val="auto"/>
                <w:sz w:val="20"/>
                <w:szCs w:val="20"/>
                <w:lang w:val="zh-CN"/>
              </w:rPr>
              <w:t>6.3/7.2</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70" w:hRule="atLeast"/>
        </w:trPr>
        <w:tc>
          <w:tcPr>
            <w:tcW w:w="101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color w:val="auto"/>
                <w:sz w:val="20"/>
                <w:szCs w:val="20"/>
              </w:rPr>
            </w:pP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zh-CN"/>
              </w:rPr>
            </w:pPr>
            <w:r>
              <w:rPr>
                <w:rFonts w:hint="eastAsia" w:ascii="仿宋" w:hAnsi="仿宋" w:eastAsia="仿宋" w:cs="仿宋"/>
                <w:color w:val="auto"/>
                <w:sz w:val="20"/>
                <w:lang w:val="zh-CN"/>
              </w:rPr>
              <w:t xml:space="preserve">CentOS 7.5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sz w:val="20"/>
                <w:szCs w:val="20"/>
                <w:lang w:eastAsia="zh-CN"/>
              </w:rPr>
              <w:t>优先选择</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55" w:hRule="atLeast"/>
        </w:trPr>
        <w:tc>
          <w:tcPr>
            <w:tcW w:w="101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数据库</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sz w:val="20"/>
                <w:szCs w:val="20"/>
                <w:lang w:val="zh-CN"/>
              </w:rPr>
              <w:t>DB2 10.1/10.5.7</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55" w:hRule="atLeast"/>
        </w:trPr>
        <w:tc>
          <w:tcPr>
            <w:tcW w:w="101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color w:val="auto"/>
                <w:sz w:val="20"/>
                <w:szCs w:val="20"/>
                <w:lang w:eastAsia="zh-CN"/>
              </w:rPr>
            </w:pP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MySQL 8.0+</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eastAsia="zh-CN"/>
              </w:rPr>
              <w:t>版本</w:t>
            </w:r>
            <w:r>
              <w:rPr>
                <w:rFonts w:hint="eastAsia" w:ascii="仿宋" w:hAnsi="仿宋" w:eastAsia="仿宋" w:cs="仿宋"/>
                <w:color w:val="auto"/>
                <w:sz w:val="20"/>
                <w:szCs w:val="20"/>
                <w:lang w:val="en-US" w:eastAsia="zh-CN"/>
              </w:rPr>
              <w:t>8.0以上</w:t>
            </w:r>
          </w:p>
        </w:tc>
      </w:tr>
      <w:tr>
        <w:tblPrEx>
          <w:tblLayout w:type="fixed"/>
          <w:tblCellMar>
            <w:top w:w="0" w:type="dxa"/>
            <w:left w:w="108" w:type="dxa"/>
            <w:bottom w:w="0" w:type="dxa"/>
            <w:right w:w="108" w:type="dxa"/>
          </w:tblCellMar>
        </w:tblPrEx>
        <w:trPr>
          <w:trHeight w:val="355" w:hRule="atLeast"/>
        </w:trPr>
        <w:tc>
          <w:tcPr>
            <w:tcW w:w="101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color w:val="auto"/>
                <w:sz w:val="20"/>
                <w:szCs w:val="20"/>
                <w:lang w:eastAsia="zh-CN"/>
              </w:rPr>
            </w:pP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OceanBase 2.2.7+</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优先选择</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Oracle模式</w:t>
            </w:r>
          </w:p>
        </w:tc>
      </w:tr>
      <w:tr>
        <w:tblPrEx>
          <w:tblLayout w:type="fixed"/>
          <w:tblCellMar>
            <w:top w:w="0" w:type="dxa"/>
            <w:left w:w="108" w:type="dxa"/>
            <w:bottom w:w="0" w:type="dxa"/>
            <w:right w:w="108" w:type="dxa"/>
          </w:tblCellMar>
        </w:tblPrEx>
        <w:trPr>
          <w:trHeight w:val="440" w:hRule="atLeast"/>
        </w:trPr>
        <w:tc>
          <w:tcPr>
            <w:tcW w:w="101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中间件</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sz w:val="20"/>
                <w:szCs w:val="20"/>
                <w:lang w:val="zh-CN"/>
              </w:rPr>
              <w:t xml:space="preserve">WAS </w:t>
            </w:r>
            <w:r>
              <w:rPr>
                <w:rFonts w:hint="eastAsia" w:ascii="仿宋" w:hAnsi="仿宋" w:eastAsia="仿宋" w:cs="仿宋"/>
                <w:color w:val="auto"/>
                <w:sz w:val="20"/>
                <w:szCs w:val="20"/>
                <w:lang w:val="en-US" w:eastAsia="zh-CN"/>
              </w:rPr>
              <w:t>9.0.0.5</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40" w:hRule="atLeast"/>
        </w:trPr>
        <w:tc>
          <w:tcPr>
            <w:tcW w:w="101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 xml:space="preserve">Tomcat </w:t>
            </w:r>
            <w:r>
              <w:rPr>
                <w:rFonts w:hint="eastAsia" w:ascii="仿宋" w:hAnsi="仿宋" w:eastAsia="仿宋" w:cs="仿宋"/>
                <w:color w:val="auto"/>
                <w:sz w:val="20"/>
              </w:rPr>
              <w:t>9.0 </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sz w:val="20"/>
                <w:szCs w:val="20"/>
                <w:lang w:eastAsia="zh-CN"/>
              </w:rPr>
              <w:t>优先选择</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420" w:hRule="atLeast"/>
        </w:trPr>
        <w:tc>
          <w:tcPr>
            <w:tcW w:w="101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zh-CN"/>
              </w:rPr>
            </w:pPr>
            <w:r>
              <w:rPr>
                <w:rFonts w:hint="eastAsia" w:ascii="仿宋" w:hAnsi="仿宋" w:eastAsia="仿宋" w:cs="仿宋"/>
                <w:color w:val="auto"/>
                <w:sz w:val="20"/>
                <w:lang w:val="zh-CN"/>
              </w:rPr>
              <w:t>Nginx</w:t>
            </w:r>
            <w:r>
              <w:rPr>
                <w:rFonts w:hint="eastAsia" w:ascii="仿宋" w:hAnsi="仿宋" w:eastAsia="仿宋" w:cs="仿宋"/>
                <w:color w:val="auto"/>
                <w:sz w:val="20"/>
                <w:lang w:val="en-US" w:eastAsia="zh-CN"/>
              </w:rPr>
              <w:t xml:space="preserve"> </w:t>
            </w:r>
            <w:r>
              <w:rPr>
                <w:rFonts w:hint="eastAsia" w:ascii="仿宋" w:hAnsi="仿宋" w:eastAsia="仿宋" w:cs="仿宋"/>
                <w:color w:val="auto"/>
                <w:sz w:val="20"/>
              </w:rPr>
              <w:t>1.15.9</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sz w:val="20"/>
                <w:szCs w:val="20"/>
                <w:lang w:eastAsia="zh-CN"/>
              </w:rPr>
              <w:t>优先选择</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45" w:hRule="atLeast"/>
        </w:trPr>
        <w:tc>
          <w:tcPr>
            <w:tcW w:w="101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CICS</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45" w:hRule="atLeast"/>
        </w:trPr>
        <w:tc>
          <w:tcPr>
            <w:tcW w:w="101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缓存</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Redis 5.0.7+</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sz w:val="20"/>
                <w:szCs w:val="20"/>
                <w:lang w:eastAsia="zh-CN"/>
              </w:rPr>
              <w:t>优先选择</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45" w:hRule="atLeast"/>
        </w:trPr>
        <w:tc>
          <w:tcPr>
            <w:tcW w:w="101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配置管理</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apollo</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r>
              <w:rPr>
                <w:rFonts w:hint="eastAsia" w:ascii="仿宋" w:hAnsi="仿宋" w:eastAsia="仿宋" w:cs="仿宋"/>
                <w:color w:val="auto"/>
                <w:sz w:val="20"/>
                <w:szCs w:val="20"/>
                <w:lang w:eastAsia="zh-CN"/>
              </w:rPr>
              <w:t>优先选择</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45" w:hRule="atLeast"/>
        </w:trPr>
        <w:tc>
          <w:tcPr>
            <w:tcW w:w="101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消息队列</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kafka</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45" w:hRule="atLeast"/>
        </w:trPr>
        <w:tc>
          <w:tcPr>
            <w:tcW w:w="101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RabbitMQ</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rPr>
            </w:pPr>
          </w:p>
        </w:tc>
      </w:tr>
      <w:tr>
        <w:tblPrEx>
          <w:tblLayout w:type="fixed"/>
          <w:tblCellMar>
            <w:top w:w="0" w:type="dxa"/>
            <w:left w:w="108" w:type="dxa"/>
            <w:bottom w:w="0" w:type="dxa"/>
            <w:right w:w="108" w:type="dxa"/>
          </w:tblCellMar>
        </w:tblPrEx>
        <w:trPr>
          <w:trHeight w:val="345" w:hRule="atLeast"/>
        </w:trPr>
        <w:tc>
          <w:tcPr>
            <w:tcW w:w="101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前端框架</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Vue.JS</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优先选择</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eastAsia="zh-CN"/>
              </w:rPr>
              <w:t>管理端优先选择</w:t>
            </w:r>
            <w:r>
              <w:rPr>
                <w:rFonts w:hint="eastAsia" w:ascii="仿宋" w:hAnsi="仿宋" w:eastAsia="仿宋" w:cs="仿宋"/>
                <w:color w:val="auto"/>
                <w:sz w:val="20"/>
                <w:szCs w:val="20"/>
                <w:lang w:val="en-US" w:eastAsia="zh-CN"/>
              </w:rPr>
              <w:t>ElementUI</w:t>
            </w:r>
          </w:p>
        </w:tc>
      </w:tr>
      <w:tr>
        <w:tblPrEx>
          <w:tblLayout w:type="fixed"/>
          <w:tblCellMar>
            <w:top w:w="0" w:type="dxa"/>
            <w:left w:w="108" w:type="dxa"/>
            <w:bottom w:w="0" w:type="dxa"/>
            <w:right w:w="108" w:type="dxa"/>
          </w:tblCellMar>
        </w:tblPrEx>
        <w:trPr>
          <w:trHeight w:val="345" w:hRule="atLeast"/>
        </w:trPr>
        <w:tc>
          <w:tcPr>
            <w:tcW w:w="101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平台</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mPaaS开发平台</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移动端应用</w:t>
            </w:r>
          </w:p>
        </w:tc>
      </w:tr>
      <w:tr>
        <w:tblPrEx>
          <w:tblLayout w:type="fixed"/>
          <w:tblCellMar>
            <w:top w:w="0" w:type="dxa"/>
            <w:left w:w="108" w:type="dxa"/>
            <w:bottom w:w="0" w:type="dxa"/>
            <w:right w:w="108" w:type="dxa"/>
          </w:tblCellMar>
        </w:tblPrEx>
        <w:trPr>
          <w:trHeight w:val="345" w:hRule="atLeast"/>
        </w:trPr>
        <w:tc>
          <w:tcPr>
            <w:tcW w:w="101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JDK</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JDK 1.8+</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p>
        </w:tc>
      </w:tr>
      <w:tr>
        <w:tblPrEx>
          <w:tblLayout w:type="fixed"/>
          <w:tblCellMar>
            <w:top w:w="0" w:type="dxa"/>
            <w:left w:w="108" w:type="dxa"/>
            <w:bottom w:w="0" w:type="dxa"/>
            <w:right w:w="108" w:type="dxa"/>
          </w:tblCellMar>
        </w:tblPrEx>
        <w:trPr>
          <w:trHeight w:val="345" w:hRule="atLeast"/>
        </w:trPr>
        <w:tc>
          <w:tcPr>
            <w:tcW w:w="101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微服务框架</w:t>
            </w:r>
          </w:p>
        </w:tc>
        <w:tc>
          <w:tcPr>
            <w:tcW w:w="4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SpringCloud</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eastAsia="zh-CN"/>
              </w:rPr>
              <w:t>优先选择基于</w:t>
            </w:r>
            <w:r>
              <w:rPr>
                <w:rFonts w:hint="eastAsia" w:ascii="仿宋" w:hAnsi="仿宋" w:eastAsia="仿宋" w:cs="仿宋"/>
                <w:color w:val="auto"/>
                <w:sz w:val="20"/>
                <w:szCs w:val="20"/>
                <w:lang w:val="en-US" w:eastAsia="zh-CN"/>
              </w:rPr>
              <w:t>SpringCloud体系的微服务底层框架</w:t>
            </w:r>
          </w:p>
        </w:tc>
      </w:tr>
    </w:tbl>
    <w:p>
      <w:pPr>
        <w:widowControl w:val="0"/>
        <w:numPr>
          <w:ilvl w:val="0"/>
          <w:numId w:val="0"/>
        </w:numPr>
        <w:adjustRightInd w:val="0"/>
        <w:jc w:val="both"/>
        <w:rPr>
          <w:rFonts w:hint="eastAsia" w:ascii="仿宋" w:hAnsi="仿宋" w:eastAsia="仿宋" w:cs="仿宋"/>
          <w:snapToGrid w:val="0"/>
          <w:color w:val="auto"/>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（2）我行支持硬件清单</w:t>
      </w:r>
    </w:p>
    <w:tbl>
      <w:tblPr>
        <w:tblStyle w:val="34"/>
        <w:tblpPr w:leftFromText="180" w:rightFromText="180" w:vertAnchor="text" w:horzAnchor="page" w:tblpX="2350" w:tblpY="303"/>
        <w:tblOverlap w:val="never"/>
        <w:tblW w:w="7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1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3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22"/>
                <w:szCs w:val="22"/>
                <w:vertAlign w:val="baseline"/>
                <w:lang w:val="en-US" w:eastAsia="zh-CN"/>
              </w:rPr>
            </w:pPr>
            <w:r>
              <w:rPr>
                <w:rFonts w:hint="eastAsia" w:ascii="仿宋" w:hAnsi="仿宋" w:eastAsia="仿宋" w:cs="仿宋"/>
                <w:b/>
                <w:bCs/>
                <w:color w:val="auto"/>
                <w:sz w:val="22"/>
                <w:szCs w:val="22"/>
                <w:vertAlign w:val="baseline"/>
                <w:lang w:val="en-US" w:eastAsia="zh-CN"/>
              </w:rPr>
              <w:t>硬件名称</w:t>
            </w:r>
          </w:p>
        </w:tc>
        <w:tc>
          <w:tcPr>
            <w:tcW w:w="34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22"/>
                <w:szCs w:val="22"/>
                <w:vertAlign w:val="baseline"/>
                <w:lang w:val="en-US" w:eastAsia="zh-CN"/>
              </w:rPr>
            </w:pPr>
            <w:r>
              <w:rPr>
                <w:rFonts w:hint="eastAsia" w:ascii="仿宋" w:hAnsi="仿宋" w:eastAsia="仿宋" w:cs="仿宋"/>
                <w:b/>
                <w:bCs/>
                <w:color w:val="auto"/>
                <w:sz w:val="22"/>
                <w:szCs w:val="22"/>
                <w:vertAlign w:val="baseline"/>
                <w:lang w:val="en-US" w:eastAsia="zh-CN"/>
              </w:rPr>
              <w:t>基本配置</w:t>
            </w:r>
          </w:p>
        </w:tc>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22"/>
                <w:szCs w:val="22"/>
                <w:vertAlign w:val="baseline"/>
                <w:lang w:val="en-US" w:eastAsia="zh-CN"/>
              </w:rPr>
            </w:pPr>
            <w:r>
              <w:rPr>
                <w:rFonts w:hint="eastAsia" w:ascii="仿宋" w:hAnsi="仿宋" w:eastAsia="仿宋" w:cs="仿宋"/>
                <w:b/>
                <w:bCs/>
                <w:color w:val="auto"/>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小型机</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16C/128G/4*300GB/2*HBA卡/2*4口网卡</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PCserver</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zh-CN" w:eastAsia="zh-CN"/>
              </w:rPr>
              <w:t>2*E5-2630V4 8C/128GB(8*16GB)/4*600G SAS/Raid (0、1、5)</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lang w:val="en-US" w:eastAsia="zh-CN"/>
              </w:rPr>
              <w:t>虚拟化设备</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2C/8G/100G</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color w:val="auto"/>
                <w:sz w:val="18"/>
                <w:szCs w:val="18"/>
                <w:vertAlign w:val="baseline"/>
                <w:lang w:val="en-US" w:eastAsia="zh-CN"/>
              </w:rPr>
            </w:pPr>
          </w:p>
        </w:tc>
      </w:tr>
    </w:tbl>
    <w:p>
      <w:pPr>
        <w:numPr>
          <w:ilvl w:val="0"/>
          <w:numId w:val="0"/>
        </w:numPr>
        <w:adjustRightInd w:val="0"/>
        <w:ind w:leftChars="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auto"/>
          <w:sz w:val="16"/>
          <w:szCs w:val="16"/>
          <w:highlight w:val="none"/>
          <w:lang w:val="en-US" w:eastAsia="zh-CN"/>
        </w:rPr>
      </w:pPr>
    </w:p>
    <w:p>
      <w:pPr>
        <w:pStyle w:val="5"/>
        <w:spacing w:after="0" w:line="240" w:lineRule="auto"/>
        <w:jc w:val="left"/>
        <w:rPr>
          <w:rFonts w:hint="eastAsia" w:ascii="仿宋" w:hAnsi="仿宋" w:eastAsia="仿宋" w:cs="仿宋"/>
          <w:b w:val="0"/>
          <w:bCs w:val="0"/>
          <w:snapToGrid w:val="0"/>
          <w:color w:val="auto"/>
          <w:kern w:val="2"/>
          <w:sz w:val="28"/>
          <w:szCs w:val="28"/>
          <w:lang w:val="en-US" w:eastAsia="zh-CN" w:bidi="ar-SA"/>
        </w:rPr>
      </w:pPr>
      <w:r>
        <w:rPr>
          <w:rFonts w:hint="eastAsia" w:ascii="仿宋" w:hAnsi="仿宋" w:eastAsia="仿宋" w:cs="仿宋"/>
          <w:b w:val="0"/>
          <w:bCs w:val="0"/>
          <w:snapToGrid w:val="0"/>
          <w:color w:val="auto"/>
          <w:kern w:val="2"/>
          <w:sz w:val="28"/>
          <w:szCs w:val="28"/>
          <w:lang w:val="en-US" w:eastAsia="zh-CN" w:bidi="ar-SA"/>
        </w:rPr>
        <w:t>附件7：产品功能表</w:t>
      </w:r>
    </w:p>
    <w:tbl>
      <w:tblPr>
        <w:tblStyle w:val="34"/>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产品功能/应用/模块</w:t>
            </w:r>
          </w:p>
        </w:tc>
        <w:tc>
          <w:tcPr>
            <w:tcW w:w="3937" w:type="dxa"/>
            <w:vAlign w:val="center"/>
          </w:tcPr>
          <w:p>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对应需求点</w:t>
            </w:r>
          </w:p>
        </w:tc>
        <w:tc>
          <w:tcPr>
            <w:tcW w:w="2160" w:type="dxa"/>
            <w:vAlign w:val="center"/>
          </w:tcPr>
          <w:p>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color w:val="auto"/>
                <w:sz w:val="24"/>
                <w:szCs w:val="24"/>
                <w:vertAlign w:val="baseline"/>
                <w:lang w:val="en-US" w:eastAsia="zh-CN"/>
              </w:rPr>
            </w:pPr>
          </w:p>
        </w:tc>
        <w:tc>
          <w:tcPr>
            <w:tcW w:w="3937" w:type="dxa"/>
            <w:vAlign w:val="center"/>
          </w:tcPr>
          <w:p>
            <w:pPr>
              <w:jc w:val="both"/>
              <w:rPr>
                <w:rFonts w:hint="eastAsia" w:ascii="仿宋" w:hAnsi="仿宋" w:eastAsia="仿宋" w:cs="仿宋"/>
                <w:color w:val="auto"/>
                <w:sz w:val="24"/>
                <w:szCs w:val="24"/>
                <w:vertAlign w:val="baseline"/>
                <w:lang w:val="en-US" w:eastAsia="zh-CN"/>
              </w:rPr>
            </w:pPr>
          </w:p>
        </w:tc>
        <w:tc>
          <w:tcPr>
            <w:tcW w:w="2160" w:type="dxa"/>
            <w:vAlign w:val="center"/>
          </w:tcPr>
          <w:p>
            <w:pPr>
              <w:jc w:val="both"/>
              <w:rPr>
                <w:rFonts w:hint="eastAsia" w:ascii="仿宋" w:hAnsi="仿宋" w:eastAsia="仿宋" w:cs="仿宋"/>
                <w:color w:val="auto"/>
                <w:sz w:val="24"/>
                <w:szCs w:val="24"/>
                <w:vertAlign w:val="baseline"/>
                <w:lang w:val="en-US" w:eastAsia="zh-CN"/>
              </w:rPr>
            </w:pPr>
          </w:p>
        </w:tc>
      </w:tr>
    </w:tbl>
    <w:p>
      <w:pPr>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p>
    <w:p>
      <w:pPr>
        <w:pStyle w:val="5"/>
        <w:spacing w:after="0" w:line="240" w:lineRule="auto"/>
        <w:jc w:val="left"/>
        <w:rPr>
          <w:rFonts w:hint="eastAsia" w:ascii="仿宋" w:hAnsi="仿宋" w:eastAsia="仿宋" w:cs="仿宋"/>
          <w:b w:val="0"/>
          <w:color w:val="auto"/>
          <w:sz w:val="28"/>
          <w:szCs w:val="28"/>
          <w:highlight w:val="yellow"/>
        </w:rPr>
      </w:pPr>
      <w:r>
        <w:rPr>
          <w:rFonts w:hint="eastAsia" w:ascii="仿宋" w:hAnsi="仿宋" w:eastAsia="仿宋" w:cs="仿宋"/>
          <w:b w:val="0"/>
          <w:bCs w:val="0"/>
          <w:snapToGrid w:val="0"/>
          <w:color w:val="auto"/>
          <w:kern w:val="2"/>
          <w:sz w:val="28"/>
          <w:szCs w:val="28"/>
          <w:lang w:val="en-US" w:eastAsia="zh-CN" w:bidi="ar-SA"/>
        </w:rPr>
        <w:t>附件8：项目实施人员一览表、人员简历及社保证明</w:t>
      </w:r>
    </w:p>
    <w:p>
      <w:pPr>
        <w:tabs>
          <w:tab w:val="left" w:pos="720"/>
        </w:tabs>
        <w:spacing w:line="300" w:lineRule="auto"/>
        <w:ind w:firstLine="562"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项目实施人员一览表</w:t>
      </w:r>
    </w:p>
    <w:tbl>
      <w:tblPr>
        <w:tblStyle w:val="3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角色</w:t>
            </w:r>
          </w:p>
        </w:tc>
        <w:tc>
          <w:tcPr>
            <w:tcW w:w="1095" w:type="dxa"/>
            <w:vAlign w:val="center"/>
          </w:tcPr>
          <w:p>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姓名</w:t>
            </w:r>
          </w:p>
        </w:tc>
        <w:tc>
          <w:tcPr>
            <w:tcW w:w="847" w:type="dxa"/>
            <w:vAlign w:val="center"/>
          </w:tcPr>
          <w:p>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公司职务</w:t>
            </w:r>
          </w:p>
        </w:tc>
        <w:tc>
          <w:tcPr>
            <w:tcW w:w="683" w:type="dxa"/>
            <w:vAlign w:val="center"/>
          </w:tcPr>
          <w:p>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工作年限</w:t>
            </w:r>
          </w:p>
        </w:tc>
        <w:tc>
          <w:tcPr>
            <w:tcW w:w="1915" w:type="dxa"/>
            <w:vAlign w:val="center"/>
          </w:tcPr>
          <w:p>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参与阶段/主要工作</w:t>
            </w:r>
          </w:p>
        </w:tc>
        <w:tc>
          <w:tcPr>
            <w:tcW w:w="1364" w:type="dxa"/>
            <w:vAlign w:val="center"/>
          </w:tcPr>
          <w:p>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进场时间</w:t>
            </w:r>
          </w:p>
        </w:tc>
        <w:tc>
          <w:tcPr>
            <w:tcW w:w="1417" w:type="dxa"/>
            <w:vAlign w:val="center"/>
          </w:tcPr>
          <w:p>
            <w:pPr>
              <w:snapToGrid w:val="0"/>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1095" w:type="dxa"/>
            <w:vAlign w:val="center"/>
          </w:tcPr>
          <w:p>
            <w:pPr>
              <w:spacing w:line="300" w:lineRule="auto"/>
              <w:rPr>
                <w:rFonts w:hint="eastAsia" w:ascii="仿宋" w:hAnsi="仿宋" w:eastAsia="仿宋" w:cs="仿宋"/>
                <w:color w:val="auto"/>
                <w:sz w:val="24"/>
                <w:szCs w:val="24"/>
              </w:rPr>
            </w:pPr>
          </w:p>
        </w:tc>
        <w:tc>
          <w:tcPr>
            <w:tcW w:w="847" w:type="dxa"/>
          </w:tcPr>
          <w:p>
            <w:pPr>
              <w:spacing w:line="300" w:lineRule="auto"/>
              <w:rPr>
                <w:rFonts w:hint="eastAsia" w:ascii="仿宋" w:hAnsi="仿宋" w:eastAsia="仿宋" w:cs="仿宋"/>
                <w:color w:val="auto"/>
                <w:sz w:val="24"/>
                <w:szCs w:val="24"/>
              </w:rPr>
            </w:pPr>
          </w:p>
        </w:tc>
        <w:tc>
          <w:tcPr>
            <w:tcW w:w="683" w:type="dxa"/>
          </w:tcPr>
          <w:p>
            <w:pPr>
              <w:spacing w:line="300" w:lineRule="auto"/>
              <w:rPr>
                <w:rFonts w:hint="eastAsia" w:ascii="仿宋" w:hAnsi="仿宋" w:eastAsia="仿宋" w:cs="仿宋"/>
                <w:color w:val="auto"/>
                <w:sz w:val="24"/>
                <w:szCs w:val="24"/>
              </w:rPr>
            </w:pPr>
          </w:p>
        </w:tc>
        <w:tc>
          <w:tcPr>
            <w:tcW w:w="1915" w:type="dxa"/>
            <w:vAlign w:val="center"/>
          </w:tcPr>
          <w:p>
            <w:pPr>
              <w:spacing w:line="300" w:lineRule="auto"/>
              <w:rPr>
                <w:rFonts w:hint="eastAsia" w:ascii="仿宋" w:hAnsi="仿宋" w:eastAsia="仿宋" w:cs="仿宋"/>
                <w:color w:val="auto"/>
                <w:sz w:val="24"/>
                <w:szCs w:val="24"/>
              </w:rPr>
            </w:pPr>
          </w:p>
        </w:tc>
        <w:tc>
          <w:tcPr>
            <w:tcW w:w="1364" w:type="dxa"/>
            <w:vAlign w:val="center"/>
          </w:tcPr>
          <w:p>
            <w:pPr>
              <w:spacing w:line="300" w:lineRule="auto"/>
              <w:rPr>
                <w:rFonts w:hint="eastAsia" w:ascii="仿宋" w:hAnsi="仿宋" w:eastAsia="仿宋" w:cs="仿宋"/>
                <w:color w:val="auto"/>
                <w:sz w:val="24"/>
                <w:szCs w:val="24"/>
              </w:rPr>
            </w:pPr>
          </w:p>
        </w:tc>
        <w:tc>
          <w:tcPr>
            <w:tcW w:w="1417" w:type="dxa"/>
            <w:vAlign w:val="center"/>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需求分析</w:t>
            </w:r>
          </w:p>
        </w:tc>
        <w:tc>
          <w:tcPr>
            <w:tcW w:w="1095" w:type="dxa"/>
            <w:vAlign w:val="center"/>
          </w:tcPr>
          <w:p>
            <w:pPr>
              <w:spacing w:line="300" w:lineRule="auto"/>
              <w:rPr>
                <w:rFonts w:hint="eastAsia" w:ascii="仿宋" w:hAnsi="仿宋" w:eastAsia="仿宋" w:cs="仿宋"/>
                <w:color w:val="auto"/>
                <w:sz w:val="24"/>
                <w:szCs w:val="24"/>
              </w:rPr>
            </w:pPr>
          </w:p>
        </w:tc>
        <w:tc>
          <w:tcPr>
            <w:tcW w:w="847" w:type="dxa"/>
          </w:tcPr>
          <w:p>
            <w:pPr>
              <w:spacing w:line="300" w:lineRule="auto"/>
              <w:rPr>
                <w:rFonts w:hint="eastAsia" w:ascii="仿宋" w:hAnsi="仿宋" w:eastAsia="仿宋" w:cs="仿宋"/>
                <w:color w:val="auto"/>
                <w:sz w:val="24"/>
                <w:szCs w:val="24"/>
              </w:rPr>
            </w:pPr>
          </w:p>
        </w:tc>
        <w:tc>
          <w:tcPr>
            <w:tcW w:w="683" w:type="dxa"/>
          </w:tcPr>
          <w:p>
            <w:pPr>
              <w:spacing w:line="300" w:lineRule="auto"/>
              <w:rPr>
                <w:rFonts w:hint="eastAsia" w:ascii="仿宋" w:hAnsi="仿宋" w:eastAsia="仿宋" w:cs="仿宋"/>
                <w:color w:val="auto"/>
                <w:sz w:val="24"/>
                <w:szCs w:val="24"/>
              </w:rPr>
            </w:pPr>
          </w:p>
        </w:tc>
        <w:tc>
          <w:tcPr>
            <w:tcW w:w="1915" w:type="dxa"/>
            <w:vAlign w:val="center"/>
          </w:tcPr>
          <w:p>
            <w:pPr>
              <w:spacing w:line="300" w:lineRule="auto"/>
              <w:rPr>
                <w:rFonts w:hint="eastAsia" w:ascii="仿宋" w:hAnsi="仿宋" w:eastAsia="仿宋" w:cs="仿宋"/>
                <w:color w:val="auto"/>
                <w:sz w:val="24"/>
                <w:szCs w:val="24"/>
              </w:rPr>
            </w:pPr>
          </w:p>
        </w:tc>
        <w:tc>
          <w:tcPr>
            <w:tcW w:w="1364" w:type="dxa"/>
            <w:vAlign w:val="center"/>
          </w:tcPr>
          <w:p>
            <w:pPr>
              <w:spacing w:line="300" w:lineRule="auto"/>
              <w:rPr>
                <w:rFonts w:hint="eastAsia" w:ascii="仿宋" w:hAnsi="仿宋" w:eastAsia="仿宋" w:cs="仿宋"/>
                <w:color w:val="auto"/>
                <w:sz w:val="24"/>
                <w:szCs w:val="24"/>
              </w:rPr>
            </w:pPr>
          </w:p>
        </w:tc>
        <w:tc>
          <w:tcPr>
            <w:tcW w:w="1417" w:type="dxa"/>
            <w:vAlign w:val="center"/>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系统设计</w:t>
            </w:r>
          </w:p>
        </w:tc>
        <w:tc>
          <w:tcPr>
            <w:tcW w:w="1095" w:type="dxa"/>
            <w:vAlign w:val="center"/>
          </w:tcPr>
          <w:p>
            <w:pPr>
              <w:spacing w:line="300" w:lineRule="auto"/>
              <w:rPr>
                <w:rFonts w:hint="eastAsia" w:ascii="仿宋" w:hAnsi="仿宋" w:eastAsia="仿宋" w:cs="仿宋"/>
                <w:color w:val="auto"/>
                <w:sz w:val="24"/>
                <w:szCs w:val="24"/>
              </w:rPr>
            </w:pPr>
          </w:p>
        </w:tc>
        <w:tc>
          <w:tcPr>
            <w:tcW w:w="847" w:type="dxa"/>
          </w:tcPr>
          <w:p>
            <w:pPr>
              <w:spacing w:line="300" w:lineRule="auto"/>
              <w:rPr>
                <w:rFonts w:hint="eastAsia" w:ascii="仿宋" w:hAnsi="仿宋" w:eastAsia="仿宋" w:cs="仿宋"/>
                <w:color w:val="auto"/>
                <w:sz w:val="24"/>
                <w:szCs w:val="24"/>
              </w:rPr>
            </w:pPr>
          </w:p>
        </w:tc>
        <w:tc>
          <w:tcPr>
            <w:tcW w:w="683" w:type="dxa"/>
          </w:tcPr>
          <w:p>
            <w:pPr>
              <w:spacing w:line="300" w:lineRule="auto"/>
              <w:rPr>
                <w:rFonts w:hint="eastAsia" w:ascii="仿宋" w:hAnsi="仿宋" w:eastAsia="仿宋" w:cs="仿宋"/>
                <w:color w:val="auto"/>
                <w:sz w:val="24"/>
                <w:szCs w:val="24"/>
              </w:rPr>
            </w:pPr>
          </w:p>
        </w:tc>
        <w:tc>
          <w:tcPr>
            <w:tcW w:w="1915" w:type="dxa"/>
            <w:vAlign w:val="center"/>
          </w:tcPr>
          <w:p>
            <w:pPr>
              <w:spacing w:line="300" w:lineRule="auto"/>
              <w:rPr>
                <w:rFonts w:hint="eastAsia" w:ascii="仿宋" w:hAnsi="仿宋" w:eastAsia="仿宋" w:cs="仿宋"/>
                <w:color w:val="auto"/>
                <w:sz w:val="24"/>
                <w:szCs w:val="24"/>
              </w:rPr>
            </w:pPr>
          </w:p>
        </w:tc>
        <w:tc>
          <w:tcPr>
            <w:tcW w:w="1364" w:type="dxa"/>
            <w:vAlign w:val="center"/>
          </w:tcPr>
          <w:p>
            <w:pPr>
              <w:spacing w:line="300" w:lineRule="auto"/>
              <w:rPr>
                <w:rFonts w:hint="eastAsia" w:ascii="仿宋" w:hAnsi="仿宋" w:eastAsia="仿宋" w:cs="仿宋"/>
                <w:color w:val="auto"/>
                <w:sz w:val="24"/>
                <w:szCs w:val="24"/>
              </w:rPr>
            </w:pPr>
          </w:p>
        </w:tc>
        <w:tc>
          <w:tcPr>
            <w:tcW w:w="1417" w:type="dxa"/>
            <w:vAlign w:val="center"/>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软件工程师</w:t>
            </w:r>
          </w:p>
        </w:tc>
        <w:tc>
          <w:tcPr>
            <w:tcW w:w="1095" w:type="dxa"/>
            <w:vAlign w:val="center"/>
          </w:tcPr>
          <w:p>
            <w:pPr>
              <w:spacing w:line="300" w:lineRule="auto"/>
              <w:rPr>
                <w:rFonts w:hint="eastAsia" w:ascii="仿宋" w:hAnsi="仿宋" w:eastAsia="仿宋" w:cs="仿宋"/>
                <w:color w:val="auto"/>
                <w:sz w:val="24"/>
                <w:szCs w:val="24"/>
              </w:rPr>
            </w:pPr>
          </w:p>
        </w:tc>
        <w:tc>
          <w:tcPr>
            <w:tcW w:w="847" w:type="dxa"/>
          </w:tcPr>
          <w:p>
            <w:pPr>
              <w:spacing w:line="300" w:lineRule="auto"/>
              <w:rPr>
                <w:rFonts w:hint="eastAsia" w:ascii="仿宋" w:hAnsi="仿宋" w:eastAsia="仿宋" w:cs="仿宋"/>
                <w:color w:val="auto"/>
                <w:sz w:val="24"/>
                <w:szCs w:val="24"/>
              </w:rPr>
            </w:pPr>
          </w:p>
        </w:tc>
        <w:tc>
          <w:tcPr>
            <w:tcW w:w="683" w:type="dxa"/>
          </w:tcPr>
          <w:p>
            <w:pPr>
              <w:spacing w:line="300" w:lineRule="auto"/>
              <w:rPr>
                <w:rFonts w:hint="eastAsia" w:ascii="仿宋" w:hAnsi="仿宋" w:eastAsia="仿宋" w:cs="仿宋"/>
                <w:color w:val="auto"/>
                <w:sz w:val="24"/>
                <w:szCs w:val="24"/>
              </w:rPr>
            </w:pPr>
          </w:p>
        </w:tc>
        <w:tc>
          <w:tcPr>
            <w:tcW w:w="1915" w:type="dxa"/>
            <w:vAlign w:val="center"/>
          </w:tcPr>
          <w:p>
            <w:pPr>
              <w:spacing w:line="300" w:lineRule="auto"/>
              <w:rPr>
                <w:rFonts w:hint="eastAsia" w:ascii="仿宋" w:hAnsi="仿宋" w:eastAsia="仿宋" w:cs="仿宋"/>
                <w:color w:val="auto"/>
                <w:sz w:val="24"/>
                <w:szCs w:val="24"/>
              </w:rPr>
            </w:pPr>
          </w:p>
        </w:tc>
        <w:tc>
          <w:tcPr>
            <w:tcW w:w="1364" w:type="dxa"/>
            <w:vAlign w:val="center"/>
          </w:tcPr>
          <w:p>
            <w:pPr>
              <w:spacing w:line="300" w:lineRule="auto"/>
              <w:rPr>
                <w:rFonts w:hint="eastAsia" w:ascii="仿宋" w:hAnsi="仿宋" w:eastAsia="仿宋" w:cs="仿宋"/>
                <w:color w:val="auto"/>
                <w:sz w:val="24"/>
                <w:szCs w:val="24"/>
              </w:rPr>
            </w:pPr>
          </w:p>
        </w:tc>
        <w:tc>
          <w:tcPr>
            <w:tcW w:w="1417" w:type="dxa"/>
            <w:vAlign w:val="center"/>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测试工程师</w:t>
            </w:r>
          </w:p>
        </w:tc>
        <w:tc>
          <w:tcPr>
            <w:tcW w:w="1095" w:type="dxa"/>
            <w:vAlign w:val="center"/>
          </w:tcPr>
          <w:p>
            <w:pPr>
              <w:spacing w:line="300" w:lineRule="auto"/>
              <w:rPr>
                <w:rFonts w:hint="eastAsia" w:ascii="仿宋" w:hAnsi="仿宋" w:eastAsia="仿宋" w:cs="仿宋"/>
                <w:color w:val="auto"/>
                <w:sz w:val="24"/>
                <w:szCs w:val="24"/>
              </w:rPr>
            </w:pPr>
          </w:p>
        </w:tc>
        <w:tc>
          <w:tcPr>
            <w:tcW w:w="847" w:type="dxa"/>
          </w:tcPr>
          <w:p>
            <w:pPr>
              <w:spacing w:line="300" w:lineRule="auto"/>
              <w:rPr>
                <w:rFonts w:hint="eastAsia" w:ascii="仿宋" w:hAnsi="仿宋" w:eastAsia="仿宋" w:cs="仿宋"/>
                <w:color w:val="auto"/>
                <w:sz w:val="24"/>
                <w:szCs w:val="24"/>
              </w:rPr>
            </w:pPr>
          </w:p>
        </w:tc>
        <w:tc>
          <w:tcPr>
            <w:tcW w:w="683" w:type="dxa"/>
          </w:tcPr>
          <w:p>
            <w:pPr>
              <w:spacing w:line="300" w:lineRule="auto"/>
              <w:rPr>
                <w:rFonts w:hint="eastAsia" w:ascii="仿宋" w:hAnsi="仿宋" w:eastAsia="仿宋" w:cs="仿宋"/>
                <w:color w:val="auto"/>
                <w:sz w:val="24"/>
                <w:szCs w:val="24"/>
              </w:rPr>
            </w:pPr>
          </w:p>
        </w:tc>
        <w:tc>
          <w:tcPr>
            <w:tcW w:w="1915" w:type="dxa"/>
            <w:vAlign w:val="center"/>
          </w:tcPr>
          <w:p>
            <w:pPr>
              <w:spacing w:line="300" w:lineRule="auto"/>
              <w:rPr>
                <w:rFonts w:hint="eastAsia" w:ascii="仿宋" w:hAnsi="仿宋" w:eastAsia="仿宋" w:cs="仿宋"/>
                <w:color w:val="auto"/>
                <w:sz w:val="24"/>
                <w:szCs w:val="24"/>
              </w:rPr>
            </w:pPr>
          </w:p>
        </w:tc>
        <w:tc>
          <w:tcPr>
            <w:tcW w:w="1364" w:type="dxa"/>
            <w:vAlign w:val="center"/>
          </w:tcPr>
          <w:p>
            <w:pPr>
              <w:spacing w:line="300" w:lineRule="auto"/>
              <w:rPr>
                <w:rFonts w:hint="eastAsia" w:ascii="仿宋" w:hAnsi="仿宋" w:eastAsia="仿宋" w:cs="仿宋"/>
                <w:color w:val="auto"/>
                <w:sz w:val="24"/>
                <w:szCs w:val="24"/>
              </w:rPr>
            </w:pPr>
          </w:p>
        </w:tc>
        <w:tc>
          <w:tcPr>
            <w:tcW w:w="1417" w:type="dxa"/>
            <w:vAlign w:val="center"/>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95" w:type="dxa"/>
            <w:vAlign w:val="center"/>
          </w:tcPr>
          <w:p>
            <w:pPr>
              <w:spacing w:line="300" w:lineRule="auto"/>
              <w:rPr>
                <w:rFonts w:hint="eastAsia" w:ascii="仿宋" w:hAnsi="仿宋" w:eastAsia="仿宋" w:cs="仿宋"/>
                <w:color w:val="auto"/>
                <w:sz w:val="24"/>
                <w:szCs w:val="24"/>
              </w:rPr>
            </w:pPr>
          </w:p>
        </w:tc>
        <w:tc>
          <w:tcPr>
            <w:tcW w:w="847" w:type="dxa"/>
          </w:tcPr>
          <w:p>
            <w:pPr>
              <w:spacing w:line="300" w:lineRule="auto"/>
              <w:rPr>
                <w:rFonts w:hint="eastAsia" w:ascii="仿宋" w:hAnsi="仿宋" w:eastAsia="仿宋" w:cs="仿宋"/>
                <w:color w:val="auto"/>
                <w:sz w:val="24"/>
                <w:szCs w:val="24"/>
              </w:rPr>
            </w:pPr>
          </w:p>
        </w:tc>
        <w:tc>
          <w:tcPr>
            <w:tcW w:w="683" w:type="dxa"/>
          </w:tcPr>
          <w:p>
            <w:pPr>
              <w:spacing w:line="300" w:lineRule="auto"/>
              <w:rPr>
                <w:rFonts w:hint="eastAsia" w:ascii="仿宋" w:hAnsi="仿宋" w:eastAsia="仿宋" w:cs="仿宋"/>
                <w:color w:val="auto"/>
                <w:sz w:val="24"/>
                <w:szCs w:val="24"/>
              </w:rPr>
            </w:pPr>
          </w:p>
        </w:tc>
        <w:tc>
          <w:tcPr>
            <w:tcW w:w="1915" w:type="dxa"/>
            <w:vAlign w:val="center"/>
          </w:tcPr>
          <w:p>
            <w:pPr>
              <w:spacing w:line="300" w:lineRule="auto"/>
              <w:rPr>
                <w:rFonts w:hint="eastAsia" w:ascii="仿宋" w:hAnsi="仿宋" w:eastAsia="仿宋" w:cs="仿宋"/>
                <w:color w:val="auto"/>
                <w:sz w:val="24"/>
                <w:szCs w:val="24"/>
              </w:rPr>
            </w:pPr>
          </w:p>
        </w:tc>
        <w:tc>
          <w:tcPr>
            <w:tcW w:w="1364" w:type="dxa"/>
            <w:vAlign w:val="center"/>
          </w:tcPr>
          <w:p>
            <w:pPr>
              <w:spacing w:line="300" w:lineRule="auto"/>
              <w:rPr>
                <w:rFonts w:hint="eastAsia" w:ascii="仿宋" w:hAnsi="仿宋" w:eastAsia="仿宋" w:cs="仿宋"/>
                <w:color w:val="auto"/>
                <w:sz w:val="24"/>
                <w:szCs w:val="24"/>
              </w:rPr>
            </w:pPr>
          </w:p>
        </w:tc>
        <w:tc>
          <w:tcPr>
            <w:tcW w:w="1417" w:type="dxa"/>
            <w:vAlign w:val="center"/>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color w:val="auto"/>
                <w:sz w:val="24"/>
                <w:szCs w:val="24"/>
              </w:rPr>
            </w:pPr>
          </w:p>
        </w:tc>
        <w:tc>
          <w:tcPr>
            <w:tcW w:w="1095" w:type="dxa"/>
            <w:vAlign w:val="center"/>
          </w:tcPr>
          <w:p>
            <w:pPr>
              <w:spacing w:line="300" w:lineRule="auto"/>
              <w:rPr>
                <w:rFonts w:hint="eastAsia" w:ascii="仿宋" w:hAnsi="仿宋" w:eastAsia="仿宋" w:cs="仿宋"/>
                <w:color w:val="auto"/>
                <w:sz w:val="24"/>
                <w:szCs w:val="24"/>
              </w:rPr>
            </w:pPr>
          </w:p>
        </w:tc>
        <w:tc>
          <w:tcPr>
            <w:tcW w:w="847" w:type="dxa"/>
          </w:tcPr>
          <w:p>
            <w:pPr>
              <w:spacing w:line="300" w:lineRule="auto"/>
              <w:rPr>
                <w:rFonts w:hint="eastAsia" w:ascii="仿宋" w:hAnsi="仿宋" w:eastAsia="仿宋" w:cs="仿宋"/>
                <w:color w:val="auto"/>
                <w:sz w:val="24"/>
                <w:szCs w:val="24"/>
              </w:rPr>
            </w:pPr>
          </w:p>
        </w:tc>
        <w:tc>
          <w:tcPr>
            <w:tcW w:w="683" w:type="dxa"/>
          </w:tcPr>
          <w:p>
            <w:pPr>
              <w:spacing w:line="300" w:lineRule="auto"/>
              <w:rPr>
                <w:rFonts w:hint="eastAsia" w:ascii="仿宋" w:hAnsi="仿宋" w:eastAsia="仿宋" w:cs="仿宋"/>
                <w:color w:val="auto"/>
                <w:sz w:val="24"/>
                <w:szCs w:val="24"/>
              </w:rPr>
            </w:pPr>
          </w:p>
        </w:tc>
        <w:tc>
          <w:tcPr>
            <w:tcW w:w="1915" w:type="dxa"/>
            <w:vAlign w:val="center"/>
          </w:tcPr>
          <w:p>
            <w:pPr>
              <w:spacing w:line="300" w:lineRule="auto"/>
              <w:rPr>
                <w:rFonts w:hint="eastAsia" w:ascii="仿宋" w:hAnsi="仿宋" w:eastAsia="仿宋" w:cs="仿宋"/>
                <w:color w:val="auto"/>
                <w:sz w:val="24"/>
                <w:szCs w:val="24"/>
              </w:rPr>
            </w:pPr>
          </w:p>
        </w:tc>
        <w:tc>
          <w:tcPr>
            <w:tcW w:w="1364" w:type="dxa"/>
            <w:vAlign w:val="center"/>
          </w:tcPr>
          <w:p>
            <w:pPr>
              <w:spacing w:line="300" w:lineRule="auto"/>
              <w:rPr>
                <w:rFonts w:hint="eastAsia" w:ascii="仿宋" w:hAnsi="仿宋" w:eastAsia="仿宋" w:cs="仿宋"/>
                <w:color w:val="auto"/>
                <w:sz w:val="24"/>
                <w:szCs w:val="24"/>
              </w:rPr>
            </w:pPr>
          </w:p>
        </w:tc>
        <w:tc>
          <w:tcPr>
            <w:tcW w:w="1417" w:type="dxa"/>
            <w:vAlign w:val="center"/>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color w:val="auto"/>
                <w:sz w:val="24"/>
                <w:szCs w:val="24"/>
              </w:rPr>
            </w:pPr>
          </w:p>
        </w:tc>
        <w:tc>
          <w:tcPr>
            <w:tcW w:w="1095" w:type="dxa"/>
            <w:vAlign w:val="center"/>
          </w:tcPr>
          <w:p>
            <w:pPr>
              <w:spacing w:line="300" w:lineRule="auto"/>
              <w:rPr>
                <w:rFonts w:hint="eastAsia" w:ascii="仿宋" w:hAnsi="仿宋" w:eastAsia="仿宋" w:cs="仿宋"/>
                <w:color w:val="auto"/>
                <w:sz w:val="24"/>
                <w:szCs w:val="24"/>
              </w:rPr>
            </w:pPr>
          </w:p>
        </w:tc>
        <w:tc>
          <w:tcPr>
            <w:tcW w:w="847" w:type="dxa"/>
          </w:tcPr>
          <w:p>
            <w:pPr>
              <w:spacing w:line="300" w:lineRule="auto"/>
              <w:rPr>
                <w:rFonts w:hint="eastAsia" w:ascii="仿宋" w:hAnsi="仿宋" w:eastAsia="仿宋" w:cs="仿宋"/>
                <w:color w:val="auto"/>
                <w:sz w:val="24"/>
                <w:szCs w:val="24"/>
              </w:rPr>
            </w:pPr>
          </w:p>
        </w:tc>
        <w:tc>
          <w:tcPr>
            <w:tcW w:w="683" w:type="dxa"/>
          </w:tcPr>
          <w:p>
            <w:pPr>
              <w:spacing w:line="300" w:lineRule="auto"/>
              <w:rPr>
                <w:rFonts w:hint="eastAsia" w:ascii="仿宋" w:hAnsi="仿宋" w:eastAsia="仿宋" w:cs="仿宋"/>
                <w:color w:val="auto"/>
                <w:sz w:val="24"/>
                <w:szCs w:val="24"/>
              </w:rPr>
            </w:pPr>
          </w:p>
        </w:tc>
        <w:tc>
          <w:tcPr>
            <w:tcW w:w="1915" w:type="dxa"/>
            <w:vAlign w:val="center"/>
          </w:tcPr>
          <w:p>
            <w:pPr>
              <w:spacing w:line="300" w:lineRule="auto"/>
              <w:rPr>
                <w:rFonts w:hint="eastAsia" w:ascii="仿宋" w:hAnsi="仿宋" w:eastAsia="仿宋" w:cs="仿宋"/>
                <w:color w:val="auto"/>
                <w:sz w:val="24"/>
                <w:szCs w:val="24"/>
              </w:rPr>
            </w:pPr>
          </w:p>
        </w:tc>
        <w:tc>
          <w:tcPr>
            <w:tcW w:w="1364" w:type="dxa"/>
            <w:vAlign w:val="center"/>
          </w:tcPr>
          <w:p>
            <w:pPr>
              <w:spacing w:line="300" w:lineRule="auto"/>
              <w:rPr>
                <w:rFonts w:hint="eastAsia" w:ascii="仿宋" w:hAnsi="仿宋" w:eastAsia="仿宋" w:cs="仿宋"/>
                <w:color w:val="auto"/>
                <w:sz w:val="24"/>
                <w:szCs w:val="24"/>
              </w:rPr>
            </w:pPr>
          </w:p>
        </w:tc>
        <w:tc>
          <w:tcPr>
            <w:tcW w:w="1417" w:type="dxa"/>
            <w:vAlign w:val="center"/>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color w:val="auto"/>
                <w:sz w:val="24"/>
                <w:szCs w:val="24"/>
              </w:rPr>
            </w:pPr>
          </w:p>
        </w:tc>
        <w:tc>
          <w:tcPr>
            <w:tcW w:w="1095" w:type="dxa"/>
            <w:vAlign w:val="center"/>
          </w:tcPr>
          <w:p>
            <w:pPr>
              <w:spacing w:line="300" w:lineRule="auto"/>
              <w:rPr>
                <w:rFonts w:hint="eastAsia" w:ascii="仿宋" w:hAnsi="仿宋" w:eastAsia="仿宋" w:cs="仿宋"/>
                <w:color w:val="auto"/>
                <w:sz w:val="24"/>
                <w:szCs w:val="24"/>
              </w:rPr>
            </w:pPr>
          </w:p>
        </w:tc>
        <w:tc>
          <w:tcPr>
            <w:tcW w:w="847" w:type="dxa"/>
          </w:tcPr>
          <w:p>
            <w:pPr>
              <w:spacing w:line="300" w:lineRule="auto"/>
              <w:rPr>
                <w:rFonts w:hint="eastAsia" w:ascii="仿宋" w:hAnsi="仿宋" w:eastAsia="仿宋" w:cs="仿宋"/>
                <w:color w:val="auto"/>
                <w:sz w:val="24"/>
                <w:szCs w:val="24"/>
              </w:rPr>
            </w:pPr>
          </w:p>
        </w:tc>
        <w:tc>
          <w:tcPr>
            <w:tcW w:w="683" w:type="dxa"/>
          </w:tcPr>
          <w:p>
            <w:pPr>
              <w:spacing w:line="300" w:lineRule="auto"/>
              <w:rPr>
                <w:rFonts w:hint="eastAsia" w:ascii="仿宋" w:hAnsi="仿宋" w:eastAsia="仿宋" w:cs="仿宋"/>
                <w:color w:val="auto"/>
                <w:sz w:val="24"/>
                <w:szCs w:val="24"/>
              </w:rPr>
            </w:pPr>
          </w:p>
        </w:tc>
        <w:tc>
          <w:tcPr>
            <w:tcW w:w="1915" w:type="dxa"/>
            <w:vAlign w:val="center"/>
          </w:tcPr>
          <w:p>
            <w:pPr>
              <w:spacing w:line="300" w:lineRule="auto"/>
              <w:rPr>
                <w:rFonts w:hint="eastAsia" w:ascii="仿宋" w:hAnsi="仿宋" w:eastAsia="仿宋" w:cs="仿宋"/>
                <w:color w:val="auto"/>
                <w:sz w:val="24"/>
                <w:szCs w:val="24"/>
              </w:rPr>
            </w:pPr>
          </w:p>
        </w:tc>
        <w:tc>
          <w:tcPr>
            <w:tcW w:w="1364" w:type="dxa"/>
            <w:vAlign w:val="center"/>
          </w:tcPr>
          <w:p>
            <w:pPr>
              <w:spacing w:line="300" w:lineRule="auto"/>
              <w:rPr>
                <w:rFonts w:hint="eastAsia" w:ascii="仿宋" w:hAnsi="仿宋" w:eastAsia="仿宋" w:cs="仿宋"/>
                <w:color w:val="auto"/>
                <w:sz w:val="24"/>
                <w:szCs w:val="24"/>
              </w:rPr>
            </w:pPr>
          </w:p>
        </w:tc>
        <w:tc>
          <w:tcPr>
            <w:tcW w:w="1417" w:type="dxa"/>
            <w:vAlign w:val="center"/>
          </w:tcPr>
          <w:p>
            <w:pPr>
              <w:spacing w:line="300" w:lineRule="auto"/>
              <w:rPr>
                <w:rFonts w:hint="eastAsia" w:ascii="仿宋" w:hAnsi="仿宋" w:eastAsia="仿宋" w:cs="仿宋"/>
                <w:color w:val="auto"/>
                <w:sz w:val="24"/>
                <w:szCs w:val="24"/>
              </w:rPr>
            </w:pPr>
          </w:p>
        </w:tc>
      </w:tr>
    </w:tbl>
    <w:p>
      <w:pPr>
        <w:tabs>
          <w:tab w:val="left" w:pos="720"/>
        </w:tabs>
        <w:spacing w:line="300" w:lineRule="auto"/>
        <w:rPr>
          <w:rFonts w:hint="eastAsia" w:ascii="仿宋" w:hAnsi="仿宋" w:eastAsia="仿宋" w:cs="仿宋"/>
          <w:color w:val="auto"/>
          <w:sz w:val="28"/>
          <w:szCs w:val="28"/>
        </w:rPr>
      </w:pPr>
    </w:p>
    <w:p>
      <w:pPr>
        <w:tabs>
          <w:tab w:val="left" w:pos="720"/>
        </w:tabs>
        <w:spacing w:line="300" w:lineRule="auto"/>
        <w:rPr>
          <w:rFonts w:hint="eastAsia" w:ascii="仿宋" w:hAnsi="仿宋" w:eastAsia="仿宋" w:cs="仿宋"/>
          <w:color w:val="auto"/>
          <w:sz w:val="28"/>
          <w:szCs w:val="28"/>
        </w:rPr>
      </w:pPr>
    </w:p>
    <w:p>
      <w:pPr>
        <w:tabs>
          <w:tab w:val="left" w:pos="720"/>
        </w:tabs>
        <w:spacing w:line="300" w:lineRule="auto"/>
        <w:rPr>
          <w:rFonts w:hint="eastAsia" w:ascii="仿宋" w:hAnsi="仿宋" w:eastAsia="仿宋" w:cs="仿宋"/>
          <w:color w:val="auto"/>
          <w:sz w:val="28"/>
          <w:szCs w:val="28"/>
        </w:rPr>
      </w:pPr>
    </w:p>
    <w:p>
      <w:pPr>
        <w:tabs>
          <w:tab w:val="left" w:pos="720"/>
        </w:tabs>
        <w:spacing w:line="300" w:lineRule="auto"/>
        <w:rPr>
          <w:rFonts w:hint="eastAsia" w:ascii="仿宋" w:hAnsi="仿宋" w:eastAsia="仿宋" w:cs="仿宋"/>
          <w:color w:val="auto"/>
          <w:sz w:val="28"/>
          <w:szCs w:val="28"/>
        </w:rPr>
      </w:pPr>
    </w:p>
    <w:p>
      <w:pPr>
        <w:tabs>
          <w:tab w:val="left" w:pos="720"/>
        </w:tabs>
        <w:spacing w:line="300" w:lineRule="auto"/>
        <w:rPr>
          <w:rFonts w:hint="eastAsia" w:ascii="仿宋" w:hAnsi="仿宋" w:eastAsia="仿宋" w:cs="仿宋"/>
          <w:color w:val="auto"/>
          <w:sz w:val="28"/>
          <w:szCs w:val="28"/>
        </w:rPr>
      </w:pPr>
    </w:p>
    <w:p>
      <w:pPr>
        <w:tabs>
          <w:tab w:val="left" w:pos="720"/>
        </w:tabs>
        <w:spacing w:line="300" w:lineRule="auto"/>
        <w:rPr>
          <w:rFonts w:hint="eastAsia" w:ascii="仿宋" w:hAnsi="仿宋" w:eastAsia="仿宋" w:cs="仿宋"/>
          <w:color w:val="auto"/>
          <w:sz w:val="28"/>
          <w:szCs w:val="28"/>
        </w:rPr>
      </w:pP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投 标 人（法人公章）：</w:t>
      </w: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法定代表人（或授权代表人）：</w:t>
      </w: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年</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月</w:t>
      </w:r>
      <w:r>
        <w:rPr>
          <w:rFonts w:hint="eastAsia" w:ascii="仿宋" w:hAnsi="仿宋" w:eastAsia="仿宋" w:cs="仿宋"/>
          <w:snapToGrid w:val="0"/>
          <w:color w:val="auto"/>
          <w:sz w:val="28"/>
          <w:szCs w:val="28"/>
          <w:u w:val="single"/>
        </w:rPr>
        <w:t xml:space="preserve">     </w:t>
      </w:r>
      <w:r>
        <w:rPr>
          <w:rFonts w:hint="eastAsia" w:ascii="仿宋" w:hAnsi="仿宋" w:eastAsia="仿宋" w:cs="仿宋"/>
          <w:snapToGrid w:val="0"/>
          <w:color w:val="auto"/>
          <w:sz w:val="28"/>
          <w:szCs w:val="28"/>
        </w:rPr>
        <w:t>日</w:t>
      </w:r>
      <w:r>
        <w:rPr>
          <w:rFonts w:hint="eastAsia" w:ascii="仿宋" w:hAnsi="仿宋" w:eastAsia="仿宋" w:cs="仿宋"/>
          <w:bCs/>
          <w:snapToGrid w:val="0"/>
          <w:color w:val="auto"/>
          <w:sz w:val="28"/>
          <w:szCs w:val="28"/>
        </w:rPr>
        <w:tab/>
      </w:r>
    </w:p>
    <w:p>
      <w:pPr>
        <w:tabs>
          <w:tab w:val="left" w:pos="720"/>
        </w:tabs>
        <w:spacing w:line="300" w:lineRule="auto"/>
        <w:rPr>
          <w:rFonts w:hint="eastAsia" w:ascii="仿宋" w:hAnsi="仿宋" w:eastAsia="仿宋" w:cs="仿宋"/>
          <w:b/>
          <w:color w:val="auto"/>
          <w:sz w:val="28"/>
          <w:szCs w:val="28"/>
        </w:rPr>
      </w:pPr>
    </w:p>
    <w:p>
      <w:pPr>
        <w:tabs>
          <w:tab w:val="left" w:pos="720"/>
        </w:tabs>
        <w:spacing w:line="300" w:lineRule="auto"/>
        <w:rPr>
          <w:rFonts w:hint="eastAsia" w:ascii="仿宋" w:hAnsi="仿宋" w:eastAsia="仿宋" w:cs="仿宋"/>
          <w:b/>
          <w:color w:val="auto"/>
          <w:sz w:val="28"/>
          <w:szCs w:val="28"/>
        </w:rPr>
      </w:pPr>
    </w:p>
    <w:p>
      <w:pPr>
        <w:tabs>
          <w:tab w:val="left" w:pos="720"/>
        </w:tabs>
        <w:spacing w:line="300" w:lineRule="auto"/>
        <w:ind w:firstLine="562"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项目成</w:t>
      </w:r>
      <w:r>
        <w:rPr>
          <w:rFonts w:hint="eastAsia" w:ascii="仿宋" w:hAnsi="仿宋" w:eastAsia="仿宋" w:cs="仿宋"/>
          <w:b/>
          <w:color w:val="auto"/>
          <w:sz w:val="28"/>
          <w:szCs w:val="28"/>
        </w:rPr>
        <w:t>员简历</w:t>
      </w:r>
    </w:p>
    <w:tbl>
      <w:tblPr>
        <w:tblStyle w:val="33"/>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姓  名</w:t>
            </w:r>
          </w:p>
        </w:tc>
        <w:tc>
          <w:tcPr>
            <w:tcW w:w="2331" w:type="dxa"/>
            <w:shd w:val="clear" w:color="auto" w:fill="auto"/>
            <w:vAlign w:val="center"/>
          </w:tcPr>
          <w:p>
            <w:pPr>
              <w:snapToGrid w:val="0"/>
              <w:spacing w:line="288" w:lineRule="auto"/>
              <w:jc w:val="both"/>
              <w:rPr>
                <w:rFonts w:hint="eastAsia" w:ascii="仿宋" w:hAnsi="仿宋" w:eastAsia="仿宋" w:cs="仿宋"/>
                <w:color w:val="auto"/>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年  龄</w:t>
            </w:r>
          </w:p>
        </w:tc>
        <w:tc>
          <w:tcPr>
            <w:tcW w:w="2846" w:type="dxa"/>
            <w:gridSpan w:val="2"/>
            <w:shd w:val="clear" w:color="auto" w:fill="auto"/>
            <w:vAlign w:val="center"/>
          </w:tcPr>
          <w:p>
            <w:pPr>
              <w:snapToGrid w:val="0"/>
              <w:spacing w:line="288" w:lineRule="auto"/>
              <w:jc w:val="both"/>
              <w:rPr>
                <w:rFonts w:hint="eastAsia" w:ascii="仿宋" w:hAnsi="仿宋" w:eastAsia="仿宋" w:cs="仿宋"/>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2331" w:type="dxa"/>
            <w:shd w:val="clear" w:color="auto" w:fill="auto"/>
            <w:vAlign w:val="center"/>
          </w:tcPr>
          <w:p>
            <w:pPr>
              <w:snapToGrid w:val="0"/>
              <w:spacing w:line="288" w:lineRule="auto"/>
              <w:jc w:val="both"/>
              <w:rPr>
                <w:rFonts w:hint="eastAsia" w:ascii="仿宋" w:hAnsi="仿宋" w:eastAsia="仿宋" w:cs="仿宋"/>
                <w:color w:val="auto"/>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学  历</w:t>
            </w:r>
          </w:p>
        </w:tc>
        <w:tc>
          <w:tcPr>
            <w:tcW w:w="2846" w:type="dxa"/>
            <w:gridSpan w:val="2"/>
            <w:shd w:val="clear" w:color="auto" w:fill="auto"/>
            <w:vAlign w:val="center"/>
          </w:tcPr>
          <w:p>
            <w:pPr>
              <w:snapToGrid w:val="0"/>
              <w:spacing w:line="288" w:lineRule="auto"/>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专  业</w:t>
            </w:r>
          </w:p>
        </w:tc>
        <w:tc>
          <w:tcPr>
            <w:tcW w:w="2331" w:type="dxa"/>
            <w:shd w:val="clear" w:color="auto" w:fill="auto"/>
            <w:vAlign w:val="center"/>
          </w:tcPr>
          <w:p>
            <w:pPr>
              <w:snapToGrid w:val="0"/>
              <w:spacing w:line="288" w:lineRule="auto"/>
              <w:jc w:val="both"/>
              <w:rPr>
                <w:rFonts w:hint="eastAsia" w:ascii="仿宋" w:hAnsi="仿宋" w:eastAsia="仿宋" w:cs="仿宋"/>
                <w:color w:val="auto"/>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工作年限</w:t>
            </w:r>
          </w:p>
        </w:tc>
        <w:tc>
          <w:tcPr>
            <w:tcW w:w="2846" w:type="dxa"/>
            <w:gridSpan w:val="2"/>
            <w:shd w:val="clear" w:color="auto" w:fill="auto"/>
            <w:vAlign w:val="center"/>
          </w:tcPr>
          <w:p>
            <w:pPr>
              <w:snapToGrid w:val="0"/>
              <w:spacing w:line="288" w:lineRule="auto"/>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现所在部门</w:t>
            </w:r>
          </w:p>
        </w:tc>
        <w:tc>
          <w:tcPr>
            <w:tcW w:w="2331" w:type="dxa"/>
            <w:shd w:val="clear" w:color="auto" w:fill="auto"/>
            <w:vAlign w:val="center"/>
          </w:tcPr>
          <w:p>
            <w:pPr>
              <w:snapToGrid w:val="0"/>
              <w:spacing w:line="288" w:lineRule="auto"/>
              <w:jc w:val="both"/>
              <w:rPr>
                <w:rFonts w:hint="eastAsia" w:ascii="仿宋" w:hAnsi="仿宋" w:eastAsia="仿宋" w:cs="仿宋"/>
                <w:color w:val="auto"/>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职务/职称</w:t>
            </w:r>
          </w:p>
        </w:tc>
        <w:tc>
          <w:tcPr>
            <w:tcW w:w="2846" w:type="dxa"/>
            <w:gridSpan w:val="2"/>
            <w:shd w:val="clear" w:color="auto" w:fill="auto"/>
            <w:vAlign w:val="center"/>
          </w:tcPr>
          <w:p>
            <w:pPr>
              <w:snapToGrid w:val="0"/>
              <w:spacing w:line="288" w:lineRule="auto"/>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项目角色</w:t>
            </w:r>
          </w:p>
        </w:tc>
        <w:tc>
          <w:tcPr>
            <w:tcW w:w="6887" w:type="dxa"/>
            <w:gridSpan w:val="5"/>
            <w:shd w:val="clear" w:color="auto" w:fill="auto"/>
            <w:vAlign w:val="center"/>
          </w:tcPr>
          <w:p>
            <w:pPr>
              <w:snapToGrid w:val="0"/>
              <w:spacing w:line="312" w:lineRule="auto"/>
              <w:jc w:val="both"/>
              <w:rPr>
                <w:rFonts w:hint="eastAsia" w:ascii="仿宋" w:hAnsi="仿宋" w:eastAsia="仿宋" w:cs="仿宋"/>
                <w:color w:val="auto"/>
                <w:sz w:val="24"/>
                <w:szCs w:val="24"/>
              </w:rPr>
            </w:pPr>
            <w:r>
              <w:rPr>
                <w:rFonts w:hint="eastAsia" w:ascii="仿宋" w:hAnsi="仿宋" w:eastAsia="仿宋" w:cs="仿宋"/>
                <w:i w:val="0"/>
                <w:iCs w:val="0"/>
                <w:color w:val="auto"/>
                <w:sz w:val="22"/>
                <w:szCs w:val="22"/>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专业资质&amp;认证</w:t>
            </w:r>
          </w:p>
        </w:tc>
        <w:tc>
          <w:tcPr>
            <w:tcW w:w="6887" w:type="dxa"/>
            <w:gridSpan w:val="5"/>
            <w:shd w:val="clear" w:color="auto" w:fill="auto"/>
            <w:vAlign w:val="center"/>
          </w:tcPr>
          <w:p>
            <w:pPr>
              <w:spacing w:line="360" w:lineRule="auto"/>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专业技能简介</w:t>
            </w:r>
          </w:p>
        </w:tc>
        <w:tc>
          <w:tcPr>
            <w:tcW w:w="6887" w:type="dxa"/>
            <w:gridSpan w:val="5"/>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工作经历(</w:t>
            </w:r>
            <w:r>
              <w:rPr>
                <w:rFonts w:hint="eastAsia" w:ascii="仿宋" w:hAnsi="仿宋" w:eastAsia="仿宋" w:cs="仿宋"/>
                <w:color w:val="auto"/>
                <w:sz w:val="24"/>
                <w:szCs w:val="24"/>
                <w:highlight w:val="none"/>
                <w:lang w:eastAsia="zh-CN"/>
              </w:rPr>
              <w:t>所有</w:t>
            </w:r>
            <w:r>
              <w:rPr>
                <w:rFonts w:hint="eastAsia" w:ascii="仿宋" w:hAnsi="仿宋" w:eastAsia="仿宋" w:cs="仿宋"/>
                <w:color w:val="auto"/>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范例：</w:t>
            </w:r>
          </w:p>
          <w:p>
            <w:pPr>
              <w:numPr>
                <w:ilvl w:val="0"/>
                <w:numId w:val="35"/>
              </w:numPr>
              <w:snapToGrid w:val="0"/>
              <w:spacing w:line="312" w:lineRule="auto"/>
              <w:ind w:left="357" w:hanging="357"/>
              <w:jc w:val="both"/>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2008.7</w:t>
            </w:r>
            <w:r>
              <w:rPr>
                <w:rFonts w:hint="eastAsia" w:ascii="仿宋" w:hAnsi="仿宋" w:eastAsia="仿宋" w:cs="仿宋"/>
                <w:i w:val="0"/>
                <w:iCs w:val="0"/>
                <w:color w:val="auto"/>
                <w:sz w:val="22"/>
                <w:szCs w:val="22"/>
                <w:highlight w:val="none"/>
                <w:lang w:eastAsia="zh-CN"/>
              </w:rPr>
              <w:t>至</w:t>
            </w:r>
            <w:r>
              <w:rPr>
                <w:rFonts w:hint="eastAsia" w:ascii="仿宋" w:hAnsi="仿宋" w:eastAsia="仿宋" w:cs="仿宋"/>
                <w:i w:val="0"/>
                <w:iCs w:val="0"/>
                <w:color w:val="auto"/>
                <w:sz w:val="22"/>
                <w:szCs w:val="22"/>
                <w:highlight w:val="none"/>
              </w:rPr>
              <w:t>今, xxxxx公司，xxx职务/岗位 (时间倒序)</w:t>
            </w:r>
          </w:p>
          <w:p>
            <w:pPr>
              <w:numPr>
                <w:ilvl w:val="0"/>
                <w:numId w:val="35"/>
              </w:numPr>
              <w:snapToGrid w:val="0"/>
              <w:spacing w:line="312" w:lineRule="auto"/>
              <w:ind w:left="357" w:hanging="357"/>
              <w:jc w:val="both"/>
              <w:rPr>
                <w:rFonts w:hint="eastAsia" w:ascii="仿宋" w:hAnsi="仿宋" w:eastAsia="仿宋" w:cs="仿宋"/>
                <w:color w:val="auto"/>
                <w:sz w:val="24"/>
                <w:szCs w:val="24"/>
                <w:highlight w:val="none"/>
              </w:rPr>
            </w:pPr>
            <w:r>
              <w:rPr>
                <w:rFonts w:hint="eastAsia" w:ascii="仿宋" w:hAnsi="仿宋" w:eastAsia="仿宋" w:cs="仿宋"/>
                <w:i w:val="0"/>
                <w:iCs w:val="0"/>
                <w:color w:val="auto"/>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参加起/止日期</w:t>
            </w:r>
          </w:p>
        </w:tc>
        <w:tc>
          <w:tcPr>
            <w:tcW w:w="3739" w:type="dxa"/>
            <w:gridSpan w:val="2"/>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近3年参加的类似项目名称</w:t>
            </w:r>
          </w:p>
        </w:tc>
        <w:tc>
          <w:tcPr>
            <w:tcW w:w="1413" w:type="dxa"/>
            <w:gridSpan w:val="2"/>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项目角色</w:t>
            </w:r>
          </w:p>
        </w:tc>
        <w:tc>
          <w:tcPr>
            <w:tcW w:w="1735" w:type="dxa"/>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范例：2009.5 ～2010.9</w:t>
            </w:r>
          </w:p>
        </w:tc>
        <w:tc>
          <w:tcPr>
            <w:tcW w:w="3739" w:type="dxa"/>
            <w:gridSpan w:val="2"/>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xxx客户xxxx项目名称</w:t>
            </w:r>
          </w:p>
        </w:tc>
        <w:tc>
          <w:tcPr>
            <w:tcW w:w="1413" w:type="dxa"/>
            <w:gridSpan w:val="2"/>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咨询顾问</w:t>
            </w:r>
          </w:p>
        </w:tc>
        <w:tc>
          <w:tcPr>
            <w:tcW w:w="1735" w:type="dxa"/>
            <w:shd w:val="clear" w:color="auto" w:fill="auto"/>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color w:val="auto"/>
                <w:sz w:val="24"/>
                <w:szCs w:val="24"/>
              </w:rPr>
            </w:pPr>
          </w:p>
        </w:tc>
        <w:tc>
          <w:tcPr>
            <w:tcW w:w="3739" w:type="dxa"/>
            <w:gridSpan w:val="2"/>
            <w:shd w:val="clear" w:color="auto" w:fill="auto"/>
            <w:vAlign w:val="center"/>
          </w:tcPr>
          <w:p>
            <w:pPr>
              <w:snapToGrid w:val="0"/>
              <w:jc w:val="both"/>
              <w:rPr>
                <w:rFonts w:hint="eastAsia" w:ascii="仿宋" w:hAnsi="仿宋" w:eastAsia="仿宋" w:cs="仿宋"/>
                <w:color w:val="auto"/>
                <w:sz w:val="24"/>
                <w:szCs w:val="24"/>
              </w:rPr>
            </w:pPr>
          </w:p>
        </w:tc>
        <w:tc>
          <w:tcPr>
            <w:tcW w:w="1413" w:type="dxa"/>
            <w:gridSpan w:val="2"/>
            <w:shd w:val="clear" w:color="auto" w:fill="auto"/>
            <w:vAlign w:val="center"/>
          </w:tcPr>
          <w:p>
            <w:pPr>
              <w:snapToGrid w:val="0"/>
              <w:jc w:val="both"/>
              <w:rPr>
                <w:rFonts w:hint="eastAsia" w:ascii="仿宋" w:hAnsi="仿宋" w:eastAsia="仿宋" w:cs="仿宋"/>
                <w:color w:val="auto"/>
                <w:sz w:val="24"/>
                <w:szCs w:val="24"/>
              </w:rPr>
            </w:pPr>
          </w:p>
        </w:tc>
        <w:tc>
          <w:tcPr>
            <w:tcW w:w="1735" w:type="dxa"/>
            <w:shd w:val="clear" w:color="auto" w:fill="auto"/>
            <w:vAlign w:val="center"/>
          </w:tcPr>
          <w:p>
            <w:pPr>
              <w:snapToGrid w:val="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color w:val="auto"/>
                <w:sz w:val="24"/>
                <w:szCs w:val="24"/>
              </w:rPr>
            </w:pPr>
          </w:p>
        </w:tc>
        <w:tc>
          <w:tcPr>
            <w:tcW w:w="3739" w:type="dxa"/>
            <w:gridSpan w:val="2"/>
            <w:shd w:val="clear" w:color="auto" w:fill="auto"/>
            <w:vAlign w:val="center"/>
          </w:tcPr>
          <w:p>
            <w:pPr>
              <w:snapToGrid w:val="0"/>
              <w:jc w:val="both"/>
              <w:rPr>
                <w:rFonts w:hint="eastAsia" w:ascii="仿宋" w:hAnsi="仿宋" w:eastAsia="仿宋" w:cs="仿宋"/>
                <w:color w:val="auto"/>
                <w:sz w:val="24"/>
                <w:szCs w:val="24"/>
              </w:rPr>
            </w:pPr>
          </w:p>
        </w:tc>
        <w:tc>
          <w:tcPr>
            <w:tcW w:w="1413" w:type="dxa"/>
            <w:gridSpan w:val="2"/>
            <w:shd w:val="clear" w:color="auto" w:fill="auto"/>
            <w:vAlign w:val="center"/>
          </w:tcPr>
          <w:p>
            <w:pPr>
              <w:snapToGrid w:val="0"/>
              <w:jc w:val="both"/>
              <w:rPr>
                <w:rFonts w:hint="eastAsia" w:ascii="仿宋" w:hAnsi="仿宋" w:eastAsia="仿宋" w:cs="仿宋"/>
                <w:color w:val="auto"/>
                <w:sz w:val="24"/>
                <w:szCs w:val="24"/>
              </w:rPr>
            </w:pPr>
          </w:p>
        </w:tc>
        <w:tc>
          <w:tcPr>
            <w:tcW w:w="1735" w:type="dxa"/>
            <w:shd w:val="clear" w:color="auto" w:fill="auto"/>
            <w:vAlign w:val="center"/>
          </w:tcPr>
          <w:p>
            <w:pPr>
              <w:snapToGrid w:val="0"/>
              <w:jc w:val="both"/>
              <w:rPr>
                <w:rFonts w:hint="eastAsia" w:ascii="仿宋" w:hAnsi="仿宋" w:eastAsia="仿宋" w:cs="仿宋"/>
                <w:color w:val="auto"/>
                <w:sz w:val="24"/>
                <w:szCs w:val="24"/>
              </w:rPr>
            </w:pPr>
          </w:p>
        </w:tc>
      </w:tr>
    </w:tbl>
    <w:p>
      <w:pPr>
        <w:tabs>
          <w:tab w:val="left" w:pos="3960"/>
        </w:tabs>
        <w:rPr>
          <w:rFonts w:hint="eastAsia" w:ascii="仿宋" w:hAnsi="仿宋" w:eastAsia="仿宋" w:cs="仿宋"/>
          <w:color w:val="auto"/>
          <w:sz w:val="28"/>
          <w:szCs w:val="28"/>
        </w:rPr>
      </w:pPr>
    </w:p>
    <w:p>
      <w:pPr>
        <w:tabs>
          <w:tab w:val="left" w:pos="3960"/>
        </w:tabs>
        <w:rPr>
          <w:rFonts w:hint="eastAsia" w:ascii="仿宋" w:hAnsi="仿宋" w:eastAsia="仿宋" w:cs="仿宋"/>
          <w:color w:val="auto"/>
          <w:sz w:val="28"/>
          <w:szCs w:val="28"/>
        </w:rPr>
      </w:pPr>
    </w:p>
    <w:p>
      <w:pPr>
        <w:tabs>
          <w:tab w:val="left" w:pos="3960"/>
        </w:tabs>
        <w:rPr>
          <w:rFonts w:hint="eastAsia" w:ascii="仿宋" w:hAnsi="仿宋" w:eastAsia="仿宋" w:cs="仿宋"/>
          <w:color w:val="auto"/>
          <w:sz w:val="28"/>
          <w:szCs w:val="28"/>
        </w:rPr>
      </w:pP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投 标 人（法人公章）：</w:t>
      </w: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法定代表人（或授权代表人）：</w:t>
      </w: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5"/>
        <w:spacing w:after="0" w:line="240" w:lineRule="auto"/>
        <w:jc w:val="left"/>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eastAsia="zh-CN"/>
        </w:rPr>
        <w:t>附件</w:t>
      </w:r>
      <w:r>
        <w:rPr>
          <w:rFonts w:hint="eastAsia" w:ascii="仿宋" w:hAnsi="仿宋" w:eastAsia="仿宋" w:cs="仿宋"/>
          <w:b w:val="0"/>
          <w:color w:val="auto"/>
          <w:sz w:val="28"/>
          <w:szCs w:val="28"/>
          <w:lang w:val="en-US" w:eastAsia="zh-CN"/>
        </w:rPr>
        <w:t>9：科技系统技术标准概要事项</w:t>
      </w:r>
    </w:p>
    <w:tbl>
      <w:tblPr>
        <w:tblStyle w:val="33"/>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exact"/>
        </w:trPr>
        <w:tc>
          <w:tcPr>
            <w:tcW w:w="1168"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lang w:val="en-US"/>
              </w:rPr>
            </w:pPr>
            <w:r>
              <w:rPr>
                <w:rFonts w:hint="eastAsia" w:ascii="仿宋" w:hAnsi="仿宋" w:eastAsia="仿宋" w:cs="仿宋"/>
                <w:i w:val="0"/>
                <w:color w:val="auto"/>
                <w:kern w:val="0"/>
                <w:sz w:val="22"/>
                <w:szCs w:val="22"/>
                <w:u w:val="none"/>
                <w:lang w:val="en-US" w:eastAsia="zh-CN" w:bidi="ar"/>
              </w:rPr>
              <w:t>按机构层级或交易层级进行结构化，正常与异常日志分离，改造满足我行日志规范要求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7" w:hRule="exact"/>
        </w:trPr>
        <w:tc>
          <w:tcPr>
            <w:tcW w:w="1168"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报文规范</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满足招标方报文规范，如：流水号、系统号、渠道号、法人代码等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49"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应用数据库支持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能够支持国产数据库或者招标方要求的其他数据库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lang w:val="en-US"/>
              </w:rPr>
            </w:pPr>
            <w:r>
              <w:rPr>
                <w:rFonts w:hint="eastAsia" w:ascii="仿宋" w:hAnsi="仿宋" w:eastAsia="仿宋" w:cs="仿宋"/>
                <w:i w:val="0"/>
                <w:color w:val="auto"/>
                <w:kern w:val="0"/>
                <w:sz w:val="22"/>
                <w:szCs w:val="22"/>
                <w:u w:val="none"/>
                <w:lang w:val="en-US" w:eastAsia="zh-CN" w:bidi="ar"/>
              </w:rPr>
              <w:t>系统相关对账整合到招标方对账系统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系统涉及回单必须对接招标方统一回单应用</w:t>
            </w:r>
          </w:p>
        </w:tc>
      </w:tr>
    </w:tbl>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投 标 人（法人公章）：</w:t>
      </w: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法定代表人（或授权代表人）：</w:t>
      </w:r>
    </w:p>
    <w:p>
      <w:pPr>
        <w:tabs>
          <w:tab w:val="left" w:pos="3960"/>
        </w:tabs>
        <w:rPr>
          <w:rFonts w:hint="eastAsia" w:ascii="仿宋" w:hAnsi="仿宋" w:eastAsia="仿宋" w:cs="仿宋"/>
          <w:color w:val="auto"/>
          <w:sz w:val="24"/>
          <w:szCs w:val="24"/>
          <w:lang w:val="en-US" w:eastAsia="zh-CN"/>
        </w:rPr>
      </w:pPr>
      <w:r>
        <w:rPr>
          <w:rFonts w:hint="eastAsia" w:ascii="仿宋" w:hAnsi="仿宋" w:eastAsia="仿宋" w:cs="仿宋"/>
          <w:color w:val="auto"/>
          <w:sz w:val="28"/>
          <w:szCs w:val="28"/>
        </w:rPr>
        <w:t>日    期：</w:t>
      </w:r>
    </w:p>
    <w:p>
      <w:pPr>
        <w:pStyle w:val="5"/>
        <w:spacing w:after="0" w:line="240" w:lineRule="auto"/>
        <w:jc w:val="left"/>
        <w:rPr>
          <w:rFonts w:hint="eastAsia" w:ascii="仿宋" w:hAnsi="仿宋" w:eastAsia="仿宋" w:cs="仿宋"/>
          <w:b w:val="0"/>
          <w:color w:val="auto"/>
          <w:sz w:val="28"/>
          <w:szCs w:val="28"/>
          <w:lang w:val="en-US" w:eastAsia="zh-CN"/>
        </w:rPr>
      </w:pPr>
    </w:p>
    <w:p>
      <w:pPr>
        <w:pStyle w:val="5"/>
        <w:spacing w:after="0" w:line="240" w:lineRule="auto"/>
        <w:jc w:val="left"/>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附件10：投标人资格证明与案例情况（近三年，需附证明文件）</w:t>
      </w:r>
    </w:p>
    <w:p>
      <w:pPr>
        <w:numPr>
          <w:ilvl w:val="0"/>
          <w:numId w:val="36"/>
        </w:numPr>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投标人资格证明文件（营业执照等相关文件复印件）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注：复印件作为附页。</w:t>
      </w:r>
    </w:p>
    <w:p>
      <w:pPr>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二、案例情况说明</w:t>
      </w:r>
    </w:p>
    <w:tbl>
      <w:tblPr>
        <w:tblStyle w:val="34"/>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auto"/>
                <w:kern w:val="0"/>
                <w:sz w:val="22"/>
                <w:szCs w:val="22"/>
                <w:u w:val="none"/>
                <w:lang w:val="en-US" w:eastAsia="zh-CN" w:bidi="ar"/>
              </w:rPr>
            </w:pPr>
            <w:r>
              <w:rPr>
                <w:rFonts w:hint="eastAsia" w:ascii="仿宋" w:hAnsi="仿宋" w:eastAsia="仿宋" w:cs="仿宋"/>
                <w:b/>
                <w:bCs/>
                <w:i w:val="0"/>
                <w:color w:val="auto"/>
                <w:kern w:val="0"/>
                <w:sz w:val="22"/>
                <w:szCs w:val="22"/>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auto"/>
                <w:kern w:val="0"/>
                <w:sz w:val="22"/>
                <w:szCs w:val="22"/>
                <w:u w:val="none"/>
                <w:lang w:val="en-US" w:eastAsia="zh-CN" w:bidi="ar"/>
              </w:rPr>
            </w:pPr>
            <w:r>
              <w:rPr>
                <w:rFonts w:hint="eastAsia" w:ascii="仿宋" w:hAnsi="仿宋" w:eastAsia="仿宋" w:cs="仿宋"/>
                <w:b/>
                <w:bCs/>
                <w:i w:val="0"/>
                <w:color w:val="auto"/>
                <w:kern w:val="0"/>
                <w:sz w:val="22"/>
                <w:szCs w:val="22"/>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auto"/>
                <w:kern w:val="0"/>
                <w:sz w:val="22"/>
                <w:szCs w:val="22"/>
                <w:u w:val="none"/>
                <w:lang w:val="en-US" w:eastAsia="zh-CN" w:bidi="ar"/>
              </w:rPr>
            </w:pPr>
            <w:r>
              <w:rPr>
                <w:rFonts w:hint="eastAsia" w:ascii="仿宋" w:hAnsi="仿宋" w:eastAsia="仿宋" w:cs="仿宋"/>
                <w:b/>
                <w:bCs/>
                <w:i w:val="0"/>
                <w:color w:val="auto"/>
                <w:kern w:val="0"/>
                <w:sz w:val="22"/>
                <w:szCs w:val="22"/>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auto"/>
                <w:kern w:val="0"/>
                <w:sz w:val="22"/>
                <w:szCs w:val="22"/>
                <w:u w:val="none"/>
                <w:lang w:val="en-US" w:eastAsia="zh-CN" w:bidi="ar"/>
              </w:rPr>
            </w:pPr>
            <w:r>
              <w:rPr>
                <w:rFonts w:hint="eastAsia" w:ascii="仿宋" w:hAnsi="仿宋" w:eastAsia="仿宋" w:cs="仿宋"/>
                <w:b/>
                <w:bCs/>
                <w:i w:val="0"/>
                <w:color w:val="auto"/>
                <w:kern w:val="0"/>
                <w:sz w:val="22"/>
                <w:szCs w:val="22"/>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 w:hAnsi="仿宋" w:eastAsia="仿宋" w:cs="仿宋"/>
                <w:b/>
                <w:bCs/>
                <w:i w:val="0"/>
                <w:color w:val="auto"/>
                <w:kern w:val="0"/>
                <w:sz w:val="22"/>
                <w:szCs w:val="22"/>
                <w:u w:val="none"/>
                <w:lang w:val="en-US" w:eastAsia="zh-CN" w:bidi="ar"/>
              </w:rPr>
            </w:pPr>
            <w:r>
              <w:rPr>
                <w:rFonts w:hint="eastAsia" w:ascii="仿宋" w:hAnsi="仿宋" w:eastAsia="仿宋" w:cs="仿宋"/>
                <w:b/>
                <w:bCs/>
                <w:i w:val="0"/>
                <w:color w:val="auto"/>
                <w:kern w:val="0"/>
                <w:sz w:val="22"/>
                <w:szCs w:val="22"/>
                <w:u w:val="none"/>
                <w:lang w:val="en-US" w:eastAsia="zh-CN" w:bidi="ar"/>
              </w:rPr>
              <w:t>合作方式</w:t>
            </w:r>
          </w:p>
          <w:p>
            <w:pPr>
              <w:keepNext w:val="0"/>
              <w:keepLines w:val="0"/>
              <w:widowControl/>
              <w:suppressLineNumbers w:val="0"/>
              <w:jc w:val="center"/>
              <w:textAlignment w:val="center"/>
              <w:rPr>
                <w:rFonts w:hint="eastAsia" w:ascii="仿宋" w:hAnsi="仿宋" w:eastAsia="仿宋" w:cs="仿宋"/>
                <w:b/>
                <w:bCs/>
                <w:i w:val="0"/>
                <w:color w:val="auto"/>
                <w:kern w:val="0"/>
                <w:sz w:val="22"/>
                <w:szCs w:val="22"/>
                <w:u w:val="none"/>
                <w:lang w:val="en-US" w:eastAsia="zh-CN" w:bidi="ar"/>
              </w:rPr>
            </w:pPr>
            <w:r>
              <w:rPr>
                <w:rFonts w:hint="eastAsia" w:ascii="仿宋" w:hAnsi="仿宋" w:eastAsia="仿宋" w:cs="仿宋"/>
                <w:b/>
                <w:bCs/>
                <w:i w:val="0"/>
                <w:color w:val="auto"/>
                <w:kern w:val="0"/>
                <w:sz w:val="22"/>
                <w:szCs w:val="22"/>
                <w:u w:val="none"/>
                <w:lang w:val="en-US" w:eastAsia="zh-CN" w:bidi="ar"/>
              </w:rPr>
              <w:t>（人月、项目、</w:t>
            </w:r>
            <w:bookmarkStart w:id="2" w:name="_GoBack"/>
            <w:bookmarkEnd w:id="2"/>
            <w:r>
              <w:rPr>
                <w:rFonts w:hint="eastAsia" w:ascii="仿宋" w:hAnsi="仿宋" w:eastAsia="仿宋" w:cs="仿宋"/>
                <w:b/>
                <w:bCs/>
                <w:i w:val="0"/>
                <w:color w:val="auto"/>
                <w:kern w:val="0"/>
                <w:sz w:val="22"/>
                <w:szCs w:val="22"/>
                <w:u w:val="none"/>
                <w:lang w:val="en-US" w:eastAsia="zh-CN" w:bidi="ar"/>
              </w:rPr>
              <w:t>维保）</w:t>
            </w:r>
          </w:p>
        </w:tc>
        <w:tc>
          <w:tcPr>
            <w:tcW w:w="1305" w:type="dxa"/>
            <w:vAlign w:val="center"/>
          </w:tcPr>
          <w:p>
            <w:pPr>
              <w:keepNext w:val="0"/>
              <w:keepLines w:val="0"/>
              <w:widowControl/>
              <w:suppressLineNumbers w:val="0"/>
              <w:jc w:val="center"/>
              <w:textAlignment w:val="center"/>
              <w:rPr>
                <w:rFonts w:hint="eastAsia" w:ascii="仿宋" w:hAnsi="仿宋" w:eastAsia="仿宋" w:cs="仿宋"/>
                <w:b/>
                <w:bCs/>
                <w:i w:val="0"/>
                <w:color w:val="auto"/>
                <w:kern w:val="0"/>
                <w:sz w:val="22"/>
                <w:szCs w:val="22"/>
                <w:u w:val="none"/>
                <w:lang w:val="en-US" w:eastAsia="zh-CN" w:bidi="ar"/>
              </w:rPr>
            </w:pPr>
            <w:r>
              <w:rPr>
                <w:rFonts w:hint="eastAsia" w:ascii="仿宋" w:hAnsi="仿宋" w:eastAsia="仿宋" w:cs="仿宋"/>
                <w:b/>
                <w:bCs/>
                <w:i w:val="0"/>
                <w:color w:val="auto"/>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217"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2641"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c>
          <w:tcPr>
            <w:tcW w:w="1305" w:type="dxa"/>
            <w:vAlign w:val="center"/>
          </w:tcPr>
          <w:p>
            <w:pPr>
              <w:jc w:val="both"/>
              <w:rPr>
                <w:rFonts w:hint="eastAsia" w:ascii="仿宋" w:hAnsi="仿宋" w:eastAsia="仿宋" w:cs="仿宋"/>
                <w:b w:val="0"/>
                <w:i w:val="0"/>
                <w:caps w:val="0"/>
                <w:color w:val="auto"/>
                <w:spacing w:val="0"/>
                <w:sz w:val="21"/>
                <w:szCs w:val="21"/>
                <w:shd w:val="clear" w:fill="FFFFFF"/>
                <w:vertAlign w:val="baseline"/>
                <w:lang w:val="en-US" w:eastAsia="zh-CN"/>
              </w:rPr>
            </w:pPr>
          </w:p>
        </w:tc>
      </w:tr>
    </w:tbl>
    <w:p>
      <w:pPr>
        <w:tabs>
          <w:tab w:val="left" w:pos="3960"/>
        </w:tabs>
        <w:rPr>
          <w:rFonts w:hint="eastAsia" w:ascii="仿宋" w:hAnsi="仿宋" w:eastAsia="仿宋" w:cs="仿宋"/>
          <w:color w:val="auto"/>
          <w:sz w:val="28"/>
          <w:szCs w:val="28"/>
        </w:rPr>
      </w:pP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投 标 人（法人公章）：</w:t>
      </w: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法定代表人（或授权代表人）：</w:t>
      </w:r>
    </w:p>
    <w:p>
      <w:pPr>
        <w:tabs>
          <w:tab w:val="left" w:pos="3960"/>
        </w:tabs>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rPr>
          <w:rFonts w:hint="eastAsia" w:ascii="仿宋" w:hAnsi="仿宋" w:eastAsia="仿宋" w:cs="仿宋"/>
          <w:b w:val="0"/>
          <w:i w:val="0"/>
          <w:caps w:val="0"/>
          <w:color w:val="auto"/>
          <w:spacing w:val="0"/>
          <w:sz w:val="21"/>
          <w:szCs w:val="21"/>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22</w:t>
    </w:r>
    <w:r>
      <w:rPr>
        <w:lang w:val="zh-CN"/>
      </w:rPr>
      <w:fldChar w:fldCharType="end"/>
    </w:r>
  </w:p>
  <w:p>
    <w:pPr>
      <w:pStyle w:val="2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2021年7月版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1">
    <w:nsid w:val="00000004"/>
    <w:multiLevelType w:val="singleLevel"/>
    <w:tmpl w:val="00000004"/>
    <w:lvl w:ilvl="0" w:tentative="0">
      <w:start w:val="1"/>
      <w:numFmt w:val="decimal"/>
      <w:pStyle w:val="14"/>
      <w:lvlText w:val="%1."/>
      <w:lvlJc w:val="left"/>
      <w:pPr>
        <w:tabs>
          <w:tab w:val="left" w:pos="360"/>
        </w:tabs>
        <w:ind w:left="360" w:hanging="360"/>
      </w:pPr>
    </w:lvl>
  </w:abstractNum>
  <w:abstractNum w:abstractNumId="2">
    <w:nsid w:val="0000000A"/>
    <w:multiLevelType w:val="singleLevel"/>
    <w:tmpl w:val="0000000A"/>
    <w:lvl w:ilvl="0" w:tentative="0">
      <w:start w:val="1"/>
      <w:numFmt w:val="decimal"/>
      <w:lvlText w:val="%1."/>
      <w:lvlJc w:val="left"/>
      <w:pPr>
        <w:tabs>
          <w:tab w:val="left" w:pos="425"/>
        </w:tabs>
        <w:ind w:left="420" w:hanging="425"/>
      </w:pPr>
      <w:rPr>
        <w:rFonts w:hint="default"/>
      </w:rPr>
    </w:lvl>
  </w:abstractNum>
  <w:abstractNum w:abstractNumId="3">
    <w:nsid w:val="09008C97"/>
    <w:multiLevelType w:val="singleLevel"/>
    <w:tmpl w:val="09008C97"/>
    <w:lvl w:ilvl="0" w:tentative="0">
      <w:start w:val="1"/>
      <w:numFmt w:val="decimal"/>
      <w:suff w:val="nothing"/>
      <w:lvlText w:val="%1．"/>
      <w:lvlJc w:val="left"/>
      <w:pPr>
        <w:ind w:left="0" w:firstLine="400"/>
      </w:pPr>
      <w:rPr>
        <w:rFonts w:hint="default"/>
      </w:rPr>
    </w:lvl>
  </w:abstractNum>
  <w:abstractNum w:abstractNumId="4">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79BCCF"/>
    <w:multiLevelType w:val="singleLevel"/>
    <w:tmpl w:val="5279BCCF"/>
    <w:lvl w:ilvl="0" w:tentative="0">
      <w:start w:val="1"/>
      <w:numFmt w:val="chineseCounting"/>
      <w:suff w:val="nothing"/>
      <w:lvlText w:val="%1、"/>
      <w:lvlJc w:val="left"/>
    </w:lvl>
  </w:abstractNum>
  <w:abstractNum w:abstractNumId="6">
    <w:nsid w:val="59753AD3"/>
    <w:multiLevelType w:val="singleLevel"/>
    <w:tmpl w:val="59753AD3"/>
    <w:lvl w:ilvl="0" w:tentative="0">
      <w:start w:val="1"/>
      <w:numFmt w:val="chineseCounting"/>
      <w:suff w:val="nothing"/>
      <w:lvlText w:val="（%1）"/>
      <w:lvlJc w:val="left"/>
      <w:pPr>
        <w:ind w:left="0" w:leftChars="0" w:firstLine="420" w:firstLineChars="0"/>
      </w:pPr>
      <w:rPr>
        <w:rFonts w:hint="eastAsia"/>
      </w:rPr>
    </w:lvl>
  </w:abstractNum>
  <w:abstractNum w:abstractNumId="7">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8">
    <w:nsid w:val="59753D7B"/>
    <w:multiLevelType w:val="singleLevel"/>
    <w:tmpl w:val="59753D7B"/>
    <w:lvl w:ilvl="0" w:tentative="0">
      <w:start w:val="1"/>
      <w:numFmt w:val="chineseCounting"/>
      <w:suff w:val="nothing"/>
      <w:lvlText w:val="（%1）"/>
      <w:lvlJc w:val="left"/>
      <w:pPr>
        <w:ind w:left="0" w:leftChars="0" w:firstLine="420" w:firstLineChars="0"/>
      </w:pPr>
      <w:rPr>
        <w:rFonts w:hint="eastAsia"/>
      </w:rPr>
    </w:lvl>
  </w:abstractNum>
  <w:abstractNum w:abstractNumId="9">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10">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1">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2">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3">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4">
    <w:nsid w:val="597854B4"/>
    <w:multiLevelType w:val="singleLevel"/>
    <w:tmpl w:val="597854B4"/>
    <w:lvl w:ilvl="0" w:tentative="0">
      <w:start w:val="1"/>
      <w:numFmt w:val="chineseCounting"/>
      <w:suff w:val="nothing"/>
      <w:lvlText w:val="（%1）"/>
      <w:lvlJc w:val="left"/>
      <w:pPr>
        <w:ind w:left="0" w:leftChars="0" w:firstLine="420" w:firstLineChars="0"/>
      </w:pPr>
      <w:rPr>
        <w:rFonts w:hint="eastAsia"/>
      </w:rPr>
    </w:lvl>
  </w:abstractNum>
  <w:abstractNum w:abstractNumId="15">
    <w:nsid w:val="597854E6"/>
    <w:multiLevelType w:val="singleLevel"/>
    <w:tmpl w:val="597854E6"/>
    <w:lvl w:ilvl="0" w:tentative="0">
      <w:start w:val="1"/>
      <w:numFmt w:val="chineseCounting"/>
      <w:suff w:val="nothing"/>
      <w:lvlText w:val="（%1）"/>
      <w:lvlJc w:val="left"/>
      <w:pPr>
        <w:ind w:left="0" w:leftChars="0" w:firstLine="420" w:firstLineChars="0"/>
      </w:pPr>
      <w:rPr>
        <w:rFonts w:hint="eastAsia"/>
      </w:rPr>
    </w:lvl>
  </w:abstractNum>
  <w:abstractNum w:abstractNumId="16">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677"/>
    <w:multiLevelType w:val="singleLevel"/>
    <w:tmpl w:val="59785677"/>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1">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2">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3">
    <w:nsid w:val="5983032A"/>
    <w:multiLevelType w:val="singleLevel"/>
    <w:tmpl w:val="5983032A"/>
    <w:lvl w:ilvl="0" w:tentative="0">
      <w:start w:val="2"/>
      <w:numFmt w:val="chineseCounting"/>
      <w:suff w:val="nothing"/>
      <w:lvlText w:val="%1、"/>
      <w:lvlJc w:val="left"/>
    </w:lvl>
  </w:abstractNum>
  <w:abstractNum w:abstractNumId="24">
    <w:nsid w:val="5983078B"/>
    <w:multiLevelType w:val="multilevel"/>
    <w:tmpl w:val="5983078B"/>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5">
    <w:nsid w:val="5987D065"/>
    <w:multiLevelType w:val="singleLevel"/>
    <w:tmpl w:val="5987D065"/>
    <w:lvl w:ilvl="0" w:tentative="0">
      <w:start w:val="1"/>
      <w:numFmt w:val="chineseCounting"/>
      <w:suff w:val="nothing"/>
      <w:lvlText w:val="%1、"/>
      <w:lvlJc w:val="left"/>
    </w:lvl>
  </w:abstractNum>
  <w:abstractNum w:abstractNumId="26">
    <w:nsid w:val="5987D4BA"/>
    <w:multiLevelType w:val="singleLevel"/>
    <w:tmpl w:val="5987D4BA"/>
    <w:lvl w:ilvl="0" w:tentative="0">
      <w:start w:val="2"/>
      <w:numFmt w:val="chineseCounting"/>
      <w:suff w:val="nothing"/>
      <w:lvlText w:val="（%1）"/>
      <w:lvlJc w:val="left"/>
    </w:lvl>
  </w:abstractNum>
  <w:abstractNum w:abstractNumId="27">
    <w:nsid w:val="61A7081C"/>
    <w:multiLevelType w:val="singleLevel"/>
    <w:tmpl w:val="61A7081C"/>
    <w:lvl w:ilvl="0" w:tentative="0">
      <w:start w:val="1"/>
      <w:numFmt w:val="decimal"/>
      <w:suff w:val="nothing"/>
      <w:lvlText w:val="%1．"/>
      <w:lvlJc w:val="left"/>
      <w:pPr>
        <w:ind w:left="0" w:firstLine="400"/>
      </w:pPr>
      <w:rPr>
        <w:rFonts w:hint="default"/>
      </w:rPr>
    </w:lvl>
  </w:abstractNum>
  <w:abstractNum w:abstractNumId="28">
    <w:nsid w:val="61A73E2A"/>
    <w:multiLevelType w:val="singleLevel"/>
    <w:tmpl w:val="61A73E2A"/>
    <w:lvl w:ilvl="0" w:tentative="0">
      <w:start w:val="1"/>
      <w:numFmt w:val="decimal"/>
      <w:suff w:val="nothing"/>
      <w:lvlText w:val="%1．"/>
      <w:lvlJc w:val="left"/>
      <w:pPr>
        <w:ind w:left="0" w:leftChars="0" w:firstLine="400" w:firstLineChars="0"/>
      </w:pPr>
      <w:rPr>
        <w:rFonts w:hint="default"/>
      </w:rPr>
    </w:lvl>
  </w:abstractNum>
  <w:abstractNum w:abstractNumId="29">
    <w:nsid w:val="61A7418D"/>
    <w:multiLevelType w:val="singleLevel"/>
    <w:tmpl w:val="61A7418D"/>
    <w:lvl w:ilvl="0" w:tentative="0">
      <w:start w:val="1"/>
      <w:numFmt w:val="decimal"/>
      <w:suff w:val="nothing"/>
      <w:lvlText w:val="%1．"/>
      <w:lvlJc w:val="left"/>
      <w:pPr>
        <w:ind w:left="0" w:leftChars="0" w:firstLine="400" w:firstLineChars="0"/>
      </w:pPr>
      <w:rPr>
        <w:rFonts w:hint="default"/>
      </w:rPr>
    </w:lvl>
  </w:abstractNum>
  <w:abstractNum w:abstractNumId="30">
    <w:nsid w:val="61A74523"/>
    <w:multiLevelType w:val="singleLevel"/>
    <w:tmpl w:val="61A74523"/>
    <w:lvl w:ilvl="0" w:tentative="0">
      <w:start w:val="1"/>
      <w:numFmt w:val="decimal"/>
      <w:suff w:val="nothing"/>
      <w:lvlText w:val="%1．"/>
      <w:lvlJc w:val="left"/>
      <w:pPr>
        <w:ind w:left="0" w:leftChars="0" w:firstLine="400" w:firstLineChars="0"/>
      </w:pPr>
      <w:rPr>
        <w:rFonts w:hint="default"/>
      </w:rPr>
    </w:lvl>
  </w:abstractNum>
  <w:abstractNum w:abstractNumId="31">
    <w:nsid w:val="61A747C5"/>
    <w:multiLevelType w:val="singleLevel"/>
    <w:tmpl w:val="61A747C5"/>
    <w:lvl w:ilvl="0" w:tentative="0">
      <w:start w:val="1"/>
      <w:numFmt w:val="decimal"/>
      <w:suff w:val="nothing"/>
      <w:lvlText w:val="%1．"/>
      <w:lvlJc w:val="left"/>
      <w:pPr>
        <w:ind w:left="0" w:leftChars="0" w:firstLine="400" w:firstLineChars="0"/>
      </w:pPr>
      <w:rPr>
        <w:rFonts w:hint="default"/>
      </w:rPr>
    </w:lvl>
  </w:abstractNum>
  <w:abstractNum w:abstractNumId="32">
    <w:nsid w:val="61A74941"/>
    <w:multiLevelType w:val="singleLevel"/>
    <w:tmpl w:val="61A74941"/>
    <w:lvl w:ilvl="0" w:tentative="0">
      <w:start w:val="1"/>
      <w:numFmt w:val="decimal"/>
      <w:suff w:val="nothing"/>
      <w:lvlText w:val="%1．"/>
      <w:lvlJc w:val="left"/>
      <w:pPr>
        <w:ind w:left="0" w:leftChars="0" w:firstLine="400" w:firstLineChars="0"/>
      </w:pPr>
      <w:rPr>
        <w:rFonts w:hint="default"/>
      </w:rPr>
    </w:lvl>
  </w:abstractNum>
  <w:abstractNum w:abstractNumId="33">
    <w:nsid w:val="61A749FF"/>
    <w:multiLevelType w:val="singleLevel"/>
    <w:tmpl w:val="61A749FF"/>
    <w:lvl w:ilvl="0" w:tentative="0">
      <w:start w:val="1"/>
      <w:numFmt w:val="decimal"/>
      <w:suff w:val="nothing"/>
      <w:lvlText w:val="%1．"/>
      <w:lvlJc w:val="left"/>
      <w:pPr>
        <w:ind w:left="0" w:leftChars="0" w:firstLine="400" w:firstLineChars="0"/>
      </w:pPr>
      <w:rPr>
        <w:rFonts w:hint="default"/>
      </w:rPr>
    </w:lvl>
  </w:abstractNum>
  <w:abstractNum w:abstractNumId="34">
    <w:nsid w:val="61A8114D"/>
    <w:multiLevelType w:val="singleLevel"/>
    <w:tmpl w:val="61A8114D"/>
    <w:lvl w:ilvl="0" w:tentative="0">
      <w:start w:val="1"/>
      <w:numFmt w:val="decimal"/>
      <w:suff w:val="nothing"/>
      <w:lvlText w:val="%1．"/>
      <w:lvlJc w:val="left"/>
      <w:pPr>
        <w:ind w:left="0" w:leftChars="0" w:firstLine="400" w:firstLineChars="0"/>
      </w:pPr>
      <w:rPr>
        <w:rFonts w:hint="default"/>
      </w:rPr>
    </w:lvl>
  </w:abstractNum>
  <w:abstractNum w:abstractNumId="35">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1"/>
  </w:num>
  <w:num w:numId="2">
    <w:abstractNumId w:val="7"/>
  </w:num>
  <w:num w:numId="3">
    <w:abstractNumId w:val="6"/>
  </w:num>
  <w:num w:numId="4">
    <w:abstractNumId w:val="9"/>
  </w:num>
  <w:num w:numId="5">
    <w:abstractNumId w:val="10"/>
  </w:num>
  <w:num w:numId="6">
    <w:abstractNumId w:val="11"/>
  </w:num>
  <w:num w:numId="7">
    <w:abstractNumId w:val="8"/>
  </w:num>
  <w:num w:numId="8">
    <w:abstractNumId w:val="12"/>
  </w:num>
  <w:num w:numId="9">
    <w:abstractNumId w:val="13"/>
  </w:num>
  <w:num w:numId="10">
    <w:abstractNumId w:val="14"/>
  </w:num>
  <w:num w:numId="11">
    <w:abstractNumId w:val="0"/>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
  </w:num>
  <w:num w:numId="19">
    <w:abstractNumId w:val="5"/>
  </w:num>
  <w:num w:numId="20">
    <w:abstractNumId w:val="35"/>
  </w:num>
  <w:num w:numId="21">
    <w:abstractNumId w:val="21"/>
  </w:num>
  <w:num w:numId="22">
    <w:abstractNumId w:val="22"/>
  </w:num>
  <w:num w:numId="23">
    <w:abstractNumId w:val="23"/>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
  </w:num>
  <w:num w:numId="32">
    <w:abstractNumId w:val="34"/>
  </w:num>
  <w:num w:numId="33">
    <w:abstractNumId w:val="26"/>
  </w:num>
  <w:num w:numId="34">
    <w:abstractNumId w:val="24"/>
  </w:num>
  <w:num w:numId="35">
    <w:abstractNumId w:val="4"/>
  </w:num>
  <w:num w:numId="36">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
    <w15:presenceInfo w15:providerId="None" w15:userId="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3148"/>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260686"/>
    <w:rsid w:val="015F6610"/>
    <w:rsid w:val="01802B15"/>
    <w:rsid w:val="01F016A8"/>
    <w:rsid w:val="020311FD"/>
    <w:rsid w:val="021F2BCD"/>
    <w:rsid w:val="02257892"/>
    <w:rsid w:val="023B55C1"/>
    <w:rsid w:val="023F763D"/>
    <w:rsid w:val="02426FC4"/>
    <w:rsid w:val="024C138E"/>
    <w:rsid w:val="026003F1"/>
    <w:rsid w:val="02777751"/>
    <w:rsid w:val="02A067C4"/>
    <w:rsid w:val="02B40A55"/>
    <w:rsid w:val="02BA29F8"/>
    <w:rsid w:val="02D976FF"/>
    <w:rsid w:val="02E964EB"/>
    <w:rsid w:val="03140E87"/>
    <w:rsid w:val="031D6BFC"/>
    <w:rsid w:val="03332EDA"/>
    <w:rsid w:val="034435B9"/>
    <w:rsid w:val="03926FEA"/>
    <w:rsid w:val="03A50453"/>
    <w:rsid w:val="03B46439"/>
    <w:rsid w:val="03BE6C24"/>
    <w:rsid w:val="0412370F"/>
    <w:rsid w:val="043D0952"/>
    <w:rsid w:val="043F6208"/>
    <w:rsid w:val="04694A39"/>
    <w:rsid w:val="04972F07"/>
    <w:rsid w:val="04A53B9A"/>
    <w:rsid w:val="05D504C2"/>
    <w:rsid w:val="0649060B"/>
    <w:rsid w:val="065A5568"/>
    <w:rsid w:val="068A58DD"/>
    <w:rsid w:val="068D54F1"/>
    <w:rsid w:val="06992958"/>
    <w:rsid w:val="06A2432A"/>
    <w:rsid w:val="06AC59D5"/>
    <w:rsid w:val="06BE2E9F"/>
    <w:rsid w:val="07252689"/>
    <w:rsid w:val="072B31E1"/>
    <w:rsid w:val="0756131A"/>
    <w:rsid w:val="077154CF"/>
    <w:rsid w:val="07A33591"/>
    <w:rsid w:val="07A8640A"/>
    <w:rsid w:val="07C91B31"/>
    <w:rsid w:val="08133806"/>
    <w:rsid w:val="083D3768"/>
    <w:rsid w:val="0854497E"/>
    <w:rsid w:val="08A50A31"/>
    <w:rsid w:val="08AB3900"/>
    <w:rsid w:val="08E829EE"/>
    <w:rsid w:val="094F03A1"/>
    <w:rsid w:val="09DA332F"/>
    <w:rsid w:val="0A086A46"/>
    <w:rsid w:val="0A4746E9"/>
    <w:rsid w:val="0A5237FA"/>
    <w:rsid w:val="0AB43546"/>
    <w:rsid w:val="0ACF3423"/>
    <w:rsid w:val="0AD164F5"/>
    <w:rsid w:val="0B4A4E80"/>
    <w:rsid w:val="0B5B7184"/>
    <w:rsid w:val="0B5C03EF"/>
    <w:rsid w:val="0B836253"/>
    <w:rsid w:val="0BDC31DE"/>
    <w:rsid w:val="0C824CC4"/>
    <w:rsid w:val="0C8A0A81"/>
    <w:rsid w:val="0C904C0E"/>
    <w:rsid w:val="0CBD29B9"/>
    <w:rsid w:val="0CF74913"/>
    <w:rsid w:val="0D0514A7"/>
    <w:rsid w:val="0D1F1BB5"/>
    <w:rsid w:val="0D356D62"/>
    <w:rsid w:val="0D5D0AE8"/>
    <w:rsid w:val="0D7D66E1"/>
    <w:rsid w:val="0D8F2D46"/>
    <w:rsid w:val="0DAE5379"/>
    <w:rsid w:val="0DB16C2B"/>
    <w:rsid w:val="0DCB3E31"/>
    <w:rsid w:val="0E220DAD"/>
    <w:rsid w:val="0E237C6C"/>
    <w:rsid w:val="0E687EC2"/>
    <w:rsid w:val="0E702D3B"/>
    <w:rsid w:val="0EEC5C35"/>
    <w:rsid w:val="0F8F770F"/>
    <w:rsid w:val="0FA87472"/>
    <w:rsid w:val="101F7A0E"/>
    <w:rsid w:val="105F79B8"/>
    <w:rsid w:val="108206DE"/>
    <w:rsid w:val="10C776EF"/>
    <w:rsid w:val="10E3070D"/>
    <w:rsid w:val="11383706"/>
    <w:rsid w:val="11F919DA"/>
    <w:rsid w:val="12132202"/>
    <w:rsid w:val="12576B2E"/>
    <w:rsid w:val="12780A0F"/>
    <w:rsid w:val="128003E7"/>
    <w:rsid w:val="129D0424"/>
    <w:rsid w:val="12B9330F"/>
    <w:rsid w:val="131E3EC2"/>
    <w:rsid w:val="13666F83"/>
    <w:rsid w:val="13B21DDF"/>
    <w:rsid w:val="13B90101"/>
    <w:rsid w:val="13CF32F6"/>
    <w:rsid w:val="1403623A"/>
    <w:rsid w:val="14044EE5"/>
    <w:rsid w:val="14193B86"/>
    <w:rsid w:val="141956C1"/>
    <w:rsid w:val="142C5E3A"/>
    <w:rsid w:val="1434534A"/>
    <w:rsid w:val="143F3043"/>
    <w:rsid w:val="14A81FAA"/>
    <w:rsid w:val="14C71970"/>
    <w:rsid w:val="153C1171"/>
    <w:rsid w:val="15457A46"/>
    <w:rsid w:val="15840E3F"/>
    <w:rsid w:val="15BA039F"/>
    <w:rsid w:val="15D64E1E"/>
    <w:rsid w:val="15E66256"/>
    <w:rsid w:val="15F443E3"/>
    <w:rsid w:val="16273CED"/>
    <w:rsid w:val="167B2101"/>
    <w:rsid w:val="16975514"/>
    <w:rsid w:val="16CA0BB7"/>
    <w:rsid w:val="16CF5301"/>
    <w:rsid w:val="177B7758"/>
    <w:rsid w:val="17B50C4F"/>
    <w:rsid w:val="17F5625C"/>
    <w:rsid w:val="189D20F0"/>
    <w:rsid w:val="18B8785A"/>
    <w:rsid w:val="18F95D8E"/>
    <w:rsid w:val="193B7FC3"/>
    <w:rsid w:val="19474EE4"/>
    <w:rsid w:val="194D45C7"/>
    <w:rsid w:val="195126E2"/>
    <w:rsid w:val="196679A7"/>
    <w:rsid w:val="19961FDC"/>
    <w:rsid w:val="19A24DFE"/>
    <w:rsid w:val="19B33F22"/>
    <w:rsid w:val="19DA36BC"/>
    <w:rsid w:val="19FA23F8"/>
    <w:rsid w:val="1A016881"/>
    <w:rsid w:val="1A201B89"/>
    <w:rsid w:val="1A2C4A64"/>
    <w:rsid w:val="1A523FB8"/>
    <w:rsid w:val="1A5454A5"/>
    <w:rsid w:val="1A69691D"/>
    <w:rsid w:val="1A6C779C"/>
    <w:rsid w:val="1A755129"/>
    <w:rsid w:val="1AE65EF1"/>
    <w:rsid w:val="1B51382D"/>
    <w:rsid w:val="1B5213EA"/>
    <w:rsid w:val="1B7B7681"/>
    <w:rsid w:val="1B975715"/>
    <w:rsid w:val="1B986C08"/>
    <w:rsid w:val="1BE308FE"/>
    <w:rsid w:val="1C072696"/>
    <w:rsid w:val="1C17578A"/>
    <w:rsid w:val="1C177004"/>
    <w:rsid w:val="1C1A366B"/>
    <w:rsid w:val="1C720005"/>
    <w:rsid w:val="1C762E6E"/>
    <w:rsid w:val="1C765BB9"/>
    <w:rsid w:val="1CA154E8"/>
    <w:rsid w:val="1CA45FE9"/>
    <w:rsid w:val="1D106803"/>
    <w:rsid w:val="1D225346"/>
    <w:rsid w:val="1D6C0124"/>
    <w:rsid w:val="1D900F3C"/>
    <w:rsid w:val="1DB44885"/>
    <w:rsid w:val="1DE24E96"/>
    <w:rsid w:val="1E567EF3"/>
    <w:rsid w:val="1E6C1D9C"/>
    <w:rsid w:val="1EF721AD"/>
    <w:rsid w:val="1FA51EDA"/>
    <w:rsid w:val="1FA859BE"/>
    <w:rsid w:val="1FC00BA4"/>
    <w:rsid w:val="1FC25642"/>
    <w:rsid w:val="207B4430"/>
    <w:rsid w:val="207E05FA"/>
    <w:rsid w:val="207F7502"/>
    <w:rsid w:val="20D27DF1"/>
    <w:rsid w:val="20E022E2"/>
    <w:rsid w:val="2159297C"/>
    <w:rsid w:val="2187682F"/>
    <w:rsid w:val="21895C02"/>
    <w:rsid w:val="21A3377D"/>
    <w:rsid w:val="21AD2F09"/>
    <w:rsid w:val="21F5488D"/>
    <w:rsid w:val="220C396F"/>
    <w:rsid w:val="220F53BE"/>
    <w:rsid w:val="221E3807"/>
    <w:rsid w:val="222B3CD6"/>
    <w:rsid w:val="224657A2"/>
    <w:rsid w:val="23120D28"/>
    <w:rsid w:val="231C05A6"/>
    <w:rsid w:val="23B8663C"/>
    <w:rsid w:val="23D03A35"/>
    <w:rsid w:val="23D33555"/>
    <w:rsid w:val="24B970CD"/>
    <w:rsid w:val="24C37CAF"/>
    <w:rsid w:val="24DF4CB0"/>
    <w:rsid w:val="24EF1EC5"/>
    <w:rsid w:val="250A0639"/>
    <w:rsid w:val="25987B4A"/>
    <w:rsid w:val="25A5198C"/>
    <w:rsid w:val="25CF4249"/>
    <w:rsid w:val="262B1DED"/>
    <w:rsid w:val="265072D1"/>
    <w:rsid w:val="26774072"/>
    <w:rsid w:val="271057E2"/>
    <w:rsid w:val="27A24554"/>
    <w:rsid w:val="28315CFA"/>
    <w:rsid w:val="28506176"/>
    <w:rsid w:val="291C7581"/>
    <w:rsid w:val="292D78B9"/>
    <w:rsid w:val="29655ACD"/>
    <w:rsid w:val="29E0615F"/>
    <w:rsid w:val="2A0160C8"/>
    <w:rsid w:val="2A8017C3"/>
    <w:rsid w:val="2A9757C2"/>
    <w:rsid w:val="2AC82D98"/>
    <w:rsid w:val="2B0F368C"/>
    <w:rsid w:val="2B51482C"/>
    <w:rsid w:val="2BE521BC"/>
    <w:rsid w:val="2BE83A30"/>
    <w:rsid w:val="2C4D5785"/>
    <w:rsid w:val="2CF57956"/>
    <w:rsid w:val="2CF80ADA"/>
    <w:rsid w:val="2CFD56D5"/>
    <w:rsid w:val="2D232E8B"/>
    <w:rsid w:val="2D4B2BCC"/>
    <w:rsid w:val="2DA87757"/>
    <w:rsid w:val="2DD67FBC"/>
    <w:rsid w:val="2DDE4DF1"/>
    <w:rsid w:val="2E4F5B52"/>
    <w:rsid w:val="2E5423C9"/>
    <w:rsid w:val="2E8C44A4"/>
    <w:rsid w:val="2ECA1417"/>
    <w:rsid w:val="2ED63DAE"/>
    <w:rsid w:val="2EDA79E3"/>
    <w:rsid w:val="2F920070"/>
    <w:rsid w:val="2FA85CD6"/>
    <w:rsid w:val="2FBB56EA"/>
    <w:rsid w:val="2FCC0C6E"/>
    <w:rsid w:val="2FF23F8F"/>
    <w:rsid w:val="3039249F"/>
    <w:rsid w:val="305717B6"/>
    <w:rsid w:val="305E5B3A"/>
    <w:rsid w:val="319F0CAB"/>
    <w:rsid w:val="31CF0A5D"/>
    <w:rsid w:val="32113DDD"/>
    <w:rsid w:val="32226E35"/>
    <w:rsid w:val="32544F91"/>
    <w:rsid w:val="328C2C22"/>
    <w:rsid w:val="32B51499"/>
    <w:rsid w:val="32D565D1"/>
    <w:rsid w:val="33790779"/>
    <w:rsid w:val="33AF2ABA"/>
    <w:rsid w:val="33CE4667"/>
    <w:rsid w:val="33D87D7E"/>
    <w:rsid w:val="3413415F"/>
    <w:rsid w:val="342A38C8"/>
    <w:rsid w:val="345F4849"/>
    <w:rsid w:val="346D1CBC"/>
    <w:rsid w:val="34774473"/>
    <w:rsid w:val="34C32185"/>
    <w:rsid w:val="34E770F3"/>
    <w:rsid w:val="34EF3834"/>
    <w:rsid w:val="34FB10B8"/>
    <w:rsid w:val="353B5A8A"/>
    <w:rsid w:val="35487341"/>
    <w:rsid w:val="356E21CF"/>
    <w:rsid w:val="35AA3AE9"/>
    <w:rsid w:val="35CD6A40"/>
    <w:rsid w:val="35D54B9D"/>
    <w:rsid w:val="35F62166"/>
    <w:rsid w:val="36750729"/>
    <w:rsid w:val="36AB441F"/>
    <w:rsid w:val="36F0652C"/>
    <w:rsid w:val="36FB6049"/>
    <w:rsid w:val="373C6391"/>
    <w:rsid w:val="374977D6"/>
    <w:rsid w:val="3757480D"/>
    <w:rsid w:val="375E3FC2"/>
    <w:rsid w:val="38111241"/>
    <w:rsid w:val="385E6B8E"/>
    <w:rsid w:val="3870013B"/>
    <w:rsid w:val="38B16AAF"/>
    <w:rsid w:val="38E17FBF"/>
    <w:rsid w:val="39504F41"/>
    <w:rsid w:val="39543B71"/>
    <w:rsid w:val="399D00CA"/>
    <w:rsid w:val="39A55565"/>
    <w:rsid w:val="39B055A4"/>
    <w:rsid w:val="39DE5349"/>
    <w:rsid w:val="39E90411"/>
    <w:rsid w:val="3A4D3E1E"/>
    <w:rsid w:val="3A4E6B2B"/>
    <w:rsid w:val="3A966AE3"/>
    <w:rsid w:val="3ABB0092"/>
    <w:rsid w:val="3AC36277"/>
    <w:rsid w:val="3B1220D5"/>
    <w:rsid w:val="3B2C3D25"/>
    <w:rsid w:val="3B6A31F0"/>
    <w:rsid w:val="3B797CC2"/>
    <w:rsid w:val="3B7A15F9"/>
    <w:rsid w:val="3BB039CA"/>
    <w:rsid w:val="3C077B24"/>
    <w:rsid w:val="3C6F7387"/>
    <w:rsid w:val="3C95430B"/>
    <w:rsid w:val="3D0542A9"/>
    <w:rsid w:val="3D1C48C4"/>
    <w:rsid w:val="3D645DBC"/>
    <w:rsid w:val="3D7D170C"/>
    <w:rsid w:val="3DF94AAC"/>
    <w:rsid w:val="3DFA001C"/>
    <w:rsid w:val="3E22544A"/>
    <w:rsid w:val="3E2677C4"/>
    <w:rsid w:val="3EA95DD0"/>
    <w:rsid w:val="3F3032BB"/>
    <w:rsid w:val="3F42799A"/>
    <w:rsid w:val="3F696335"/>
    <w:rsid w:val="3FC20FCA"/>
    <w:rsid w:val="40235FE0"/>
    <w:rsid w:val="4077181C"/>
    <w:rsid w:val="40837CC5"/>
    <w:rsid w:val="40855F59"/>
    <w:rsid w:val="40F36ADA"/>
    <w:rsid w:val="411656A7"/>
    <w:rsid w:val="418A0B44"/>
    <w:rsid w:val="41A37CB9"/>
    <w:rsid w:val="41F21C6F"/>
    <w:rsid w:val="42804735"/>
    <w:rsid w:val="42980C9A"/>
    <w:rsid w:val="42A542C4"/>
    <w:rsid w:val="42EB5AF7"/>
    <w:rsid w:val="43285D3E"/>
    <w:rsid w:val="432D02D3"/>
    <w:rsid w:val="436317D9"/>
    <w:rsid w:val="438A492C"/>
    <w:rsid w:val="43967F1F"/>
    <w:rsid w:val="43B7463B"/>
    <w:rsid w:val="446B6756"/>
    <w:rsid w:val="448D0D5E"/>
    <w:rsid w:val="44E569B4"/>
    <w:rsid w:val="4571761F"/>
    <w:rsid w:val="458925D9"/>
    <w:rsid w:val="458B155C"/>
    <w:rsid w:val="45D74323"/>
    <w:rsid w:val="45E83AD0"/>
    <w:rsid w:val="45FE5AC4"/>
    <w:rsid w:val="460D5D41"/>
    <w:rsid w:val="46514595"/>
    <w:rsid w:val="46D80DCB"/>
    <w:rsid w:val="46E12841"/>
    <w:rsid w:val="470F16E2"/>
    <w:rsid w:val="472270AF"/>
    <w:rsid w:val="473C01D7"/>
    <w:rsid w:val="47573AAB"/>
    <w:rsid w:val="477375C7"/>
    <w:rsid w:val="47F3143F"/>
    <w:rsid w:val="48322C59"/>
    <w:rsid w:val="48570EBF"/>
    <w:rsid w:val="486253FD"/>
    <w:rsid w:val="48697C24"/>
    <w:rsid w:val="48786CE5"/>
    <w:rsid w:val="48A4320D"/>
    <w:rsid w:val="498A0EE5"/>
    <w:rsid w:val="49CC555F"/>
    <w:rsid w:val="49D25F5D"/>
    <w:rsid w:val="4A3D7BE1"/>
    <w:rsid w:val="4A4D77BA"/>
    <w:rsid w:val="4A7D5BA6"/>
    <w:rsid w:val="4AF24664"/>
    <w:rsid w:val="4B273E4E"/>
    <w:rsid w:val="4B48076E"/>
    <w:rsid w:val="4B4E2792"/>
    <w:rsid w:val="4B7E0B6A"/>
    <w:rsid w:val="4B855217"/>
    <w:rsid w:val="4BFA7A10"/>
    <w:rsid w:val="4C13029C"/>
    <w:rsid w:val="4C2409A6"/>
    <w:rsid w:val="4C7A61A6"/>
    <w:rsid w:val="4CD60C92"/>
    <w:rsid w:val="4CFD37AC"/>
    <w:rsid w:val="4D334B9C"/>
    <w:rsid w:val="4D391A3D"/>
    <w:rsid w:val="4DBB6950"/>
    <w:rsid w:val="4DD51292"/>
    <w:rsid w:val="4E8117B8"/>
    <w:rsid w:val="4E8D29A3"/>
    <w:rsid w:val="4E933484"/>
    <w:rsid w:val="4E9553C8"/>
    <w:rsid w:val="4E9B37F3"/>
    <w:rsid w:val="4F431490"/>
    <w:rsid w:val="4F445CC7"/>
    <w:rsid w:val="4FAA59C7"/>
    <w:rsid w:val="4FB55C78"/>
    <w:rsid w:val="4FD22FFD"/>
    <w:rsid w:val="4FD533B9"/>
    <w:rsid w:val="4FDF5118"/>
    <w:rsid w:val="500B4C20"/>
    <w:rsid w:val="50105D2C"/>
    <w:rsid w:val="5011782C"/>
    <w:rsid w:val="50154A29"/>
    <w:rsid w:val="506D1992"/>
    <w:rsid w:val="50847E00"/>
    <w:rsid w:val="50D60BE3"/>
    <w:rsid w:val="50E2620F"/>
    <w:rsid w:val="51634F7E"/>
    <w:rsid w:val="51A13730"/>
    <w:rsid w:val="51BD7FD3"/>
    <w:rsid w:val="51D33D6D"/>
    <w:rsid w:val="520B41D4"/>
    <w:rsid w:val="520D4419"/>
    <w:rsid w:val="52386CE3"/>
    <w:rsid w:val="52487DAC"/>
    <w:rsid w:val="529A060E"/>
    <w:rsid w:val="533C46A2"/>
    <w:rsid w:val="53942F90"/>
    <w:rsid w:val="53AB1C1F"/>
    <w:rsid w:val="53CC6877"/>
    <w:rsid w:val="53EF7D85"/>
    <w:rsid w:val="53FA6863"/>
    <w:rsid w:val="547D4577"/>
    <w:rsid w:val="548D4A1C"/>
    <w:rsid w:val="549E3E79"/>
    <w:rsid w:val="54BD2E09"/>
    <w:rsid w:val="54FE1F29"/>
    <w:rsid w:val="5568549B"/>
    <w:rsid w:val="55916AE5"/>
    <w:rsid w:val="55A251B4"/>
    <w:rsid w:val="563C5A75"/>
    <w:rsid w:val="56AF4DBD"/>
    <w:rsid w:val="56C32EC8"/>
    <w:rsid w:val="57435CB9"/>
    <w:rsid w:val="57952EED"/>
    <w:rsid w:val="581377A6"/>
    <w:rsid w:val="58457D04"/>
    <w:rsid w:val="585F37C6"/>
    <w:rsid w:val="587270AB"/>
    <w:rsid w:val="58AD3D4D"/>
    <w:rsid w:val="59514E2E"/>
    <w:rsid w:val="59537374"/>
    <w:rsid w:val="59A35BD0"/>
    <w:rsid w:val="59EA02CA"/>
    <w:rsid w:val="5A55538B"/>
    <w:rsid w:val="5ABB1254"/>
    <w:rsid w:val="5B2A277B"/>
    <w:rsid w:val="5B3B60A4"/>
    <w:rsid w:val="5B46714E"/>
    <w:rsid w:val="5B5E5416"/>
    <w:rsid w:val="5B794029"/>
    <w:rsid w:val="5C006AA4"/>
    <w:rsid w:val="5C026E80"/>
    <w:rsid w:val="5C1F5633"/>
    <w:rsid w:val="5C4939B6"/>
    <w:rsid w:val="5C5D0EEE"/>
    <w:rsid w:val="5C804A34"/>
    <w:rsid w:val="5C8247F7"/>
    <w:rsid w:val="5CC4406B"/>
    <w:rsid w:val="5D5E5FC2"/>
    <w:rsid w:val="5DBA4654"/>
    <w:rsid w:val="5DD23D91"/>
    <w:rsid w:val="5DF20031"/>
    <w:rsid w:val="5ED6329F"/>
    <w:rsid w:val="5F2D2E24"/>
    <w:rsid w:val="5F5A53A7"/>
    <w:rsid w:val="5FC4220D"/>
    <w:rsid w:val="60D470B0"/>
    <w:rsid w:val="60F2286C"/>
    <w:rsid w:val="61133F18"/>
    <w:rsid w:val="612A7E43"/>
    <w:rsid w:val="61357C86"/>
    <w:rsid w:val="614A23AF"/>
    <w:rsid w:val="61590E72"/>
    <w:rsid w:val="615B0D1E"/>
    <w:rsid w:val="615B5C92"/>
    <w:rsid w:val="616F5C4B"/>
    <w:rsid w:val="61771EE8"/>
    <w:rsid w:val="619A20DF"/>
    <w:rsid w:val="61B561D4"/>
    <w:rsid w:val="61C03AA5"/>
    <w:rsid w:val="61DC7A24"/>
    <w:rsid w:val="62070340"/>
    <w:rsid w:val="620D2536"/>
    <w:rsid w:val="62625A67"/>
    <w:rsid w:val="62626C23"/>
    <w:rsid w:val="626A6150"/>
    <w:rsid w:val="627D1DF2"/>
    <w:rsid w:val="627F5DA1"/>
    <w:rsid w:val="628402D0"/>
    <w:rsid w:val="62974F77"/>
    <w:rsid w:val="62DC0D1C"/>
    <w:rsid w:val="631C6A98"/>
    <w:rsid w:val="63C24B0A"/>
    <w:rsid w:val="63DE5387"/>
    <w:rsid w:val="63E76856"/>
    <w:rsid w:val="640033E8"/>
    <w:rsid w:val="64014DC5"/>
    <w:rsid w:val="6410508E"/>
    <w:rsid w:val="641D0F13"/>
    <w:rsid w:val="642E20A8"/>
    <w:rsid w:val="643829A8"/>
    <w:rsid w:val="646C6FE8"/>
    <w:rsid w:val="64B440D9"/>
    <w:rsid w:val="64BF5F6D"/>
    <w:rsid w:val="64C03B57"/>
    <w:rsid w:val="65761FCC"/>
    <w:rsid w:val="65906DEB"/>
    <w:rsid w:val="6594285F"/>
    <w:rsid w:val="65C15915"/>
    <w:rsid w:val="65CB08AD"/>
    <w:rsid w:val="65D71BFD"/>
    <w:rsid w:val="65F3029E"/>
    <w:rsid w:val="660A1EB1"/>
    <w:rsid w:val="660D3DB9"/>
    <w:rsid w:val="661012CB"/>
    <w:rsid w:val="662F65D4"/>
    <w:rsid w:val="66687347"/>
    <w:rsid w:val="66A3741E"/>
    <w:rsid w:val="66B614FB"/>
    <w:rsid w:val="66C478CB"/>
    <w:rsid w:val="672C70AC"/>
    <w:rsid w:val="67EE3CEA"/>
    <w:rsid w:val="680C1276"/>
    <w:rsid w:val="681E7AD8"/>
    <w:rsid w:val="685C0B24"/>
    <w:rsid w:val="68961AFB"/>
    <w:rsid w:val="68B71429"/>
    <w:rsid w:val="6904590E"/>
    <w:rsid w:val="69142F8A"/>
    <w:rsid w:val="69180E2D"/>
    <w:rsid w:val="69550A9F"/>
    <w:rsid w:val="698C591D"/>
    <w:rsid w:val="6A0D0F70"/>
    <w:rsid w:val="6A1A03AA"/>
    <w:rsid w:val="6A394651"/>
    <w:rsid w:val="6A431541"/>
    <w:rsid w:val="6A4A5B1E"/>
    <w:rsid w:val="6A5945F9"/>
    <w:rsid w:val="6A5B3529"/>
    <w:rsid w:val="6A9F32FB"/>
    <w:rsid w:val="6AA66486"/>
    <w:rsid w:val="6AA94832"/>
    <w:rsid w:val="6ADB4CA8"/>
    <w:rsid w:val="6B4E7C02"/>
    <w:rsid w:val="6B533323"/>
    <w:rsid w:val="6B742DCA"/>
    <w:rsid w:val="6B7A7AE3"/>
    <w:rsid w:val="6C325E7E"/>
    <w:rsid w:val="6C61051E"/>
    <w:rsid w:val="6D2F0722"/>
    <w:rsid w:val="6D530806"/>
    <w:rsid w:val="6DA65921"/>
    <w:rsid w:val="6DCF5B68"/>
    <w:rsid w:val="6E69761A"/>
    <w:rsid w:val="6E973570"/>
    <w:rsid w:val="6EC5003F"/>
    <w:rsid w:val="6ECF307C"/>
    <w:rsid w:val="6ED00995"/>
    <w:rsid w:val="6ED41326"/>
    <w:rsid w:val="6F7262D9"/>
    <w:rsid w:val="6F767EFE"/>
    <w:rsid w:val="6F7C6732"/>
    <w:rsid w:val="6FE03247"/>
    <w:rsid w:val="6FEB1156"/>
    <w:rsid w:val="6FFB0052"/>
    <w:rsid w:val="703C2F5B"/>
    <w:rsid w:val="704E38AD"/>
    <w:rsid w:val="704F3FE3"/>
    <w:rsid w:val="7056024D"/>
    <w:rsid w:val="705F4EE1"/>
    <w:rsid w:val="70933F39"/>
    <w:rsid w:val="70962A58"/>
    <w:rsid w:val="70DF1A54"/>
    <w:rsid w:val="7113149D"/>
    <w:rsid w:val="71160067"/>
    <w:rsid w:val="71382591"/>
    <w:rsid w:val="71C13224"/>
    <w:rsid w:val="71F91A05"/>
    <w:rsid w:val="72181D1E"/>
    <w:rsid w:val="72412981"/>
    <w:rsid w:val="7251629D"/>
    <w:rsid w:val="72516DE5"/>
    <w:rsid w:val="728816D4"/>
    <w:rsid w:val="73176CA4"/>
    <w:rsid w:val="734B13F8"/>
    <w:rsid w:val="735D191F"/>
    <w:rsid w:val="736A23E7"/>
    <w:rsid w:val="73803BE2"/>
    <w:rsid w:val="73897C29"/>
    <w:rsid w:val="740B1955"/>
    <w:rsid w:val="746046FE"/>
    <w:rsid w:val="74833A17"/>
    <w:rsid w:val="74AE0429"/>
    <w:rsid w:val="74CC4F09"/>
    <w:rsid w:val="751E0E84"/>
    <w:rsid w:val="75237E76"/>
    <w:rsid w:val="753455E9"/>
    <w:rsid w:val="755C32F4"/>
    <w:rsid w:val="7588651D"/>
    <w:rsid w:val="758F565B"/>
    <w:rsid w:val="75DA11B7"/>
    <w:rsid w:val="75DE0CA2"/>
    <w:rsid w:val="75FB6257"/>
    <w:rsid w:val="76164B6D"/>
    <w:rsid w:val="767C1259"/>
    <w:rsid w:val="76D02233"/>
    <w:rsid w:val="770D00FA"/>
    <w:rsid w:val="77682E9B"/>
    <w:rsid w:val="77976EEE"/>
    <w:rsid w:val="77E35833"/>
    <w:rsid w:val="77FD1A73"/>
    <w:rsid w:val="78483C14"/>
    <w:rsid w:val="788F22EC"/>
    <w:rsid w:val="791E4FF7"/>
    <w:rsid w:val="79311880"/>
    <w:rsid w:val="794D53F3"/>
    <w:rsid w:val="79C65432"/>
    <w:rsid w:val="7A022E0D"/>
    <w:rsid w:val="7A5A7404"/>
    <w:rsid w:val="7A716EC7"/>
    <w:rsid w:val="7A7D0968"/>
    <w:rsid w:val="7A826731"/>
    <w:rsid w:val="7AF30168"/>
    <w:rsid w:val="7B1633FD"/>
    <w:rsid w:val="7B5675BC"/>
    <w:rsid w:val="7B6D2F15"/>
    <w:rsid w:val="7BC0100A"/>
    <w:rsid w:val="7BDA0063"/>
    <w:rsid w:val="7BE42B91"/>
    <w:rsid w:val="7C011A68"/>
    <w:rsid w:val="7C0147AD"/>
    <w:rsid w:val="7C0619D3"/>
    <w:rsid w:val="7C35538A"/>
    <w:rsid w:val="7C3D47DE"/>
    <w:rsid w:val="7C7C41DC"/>
    <w:rsid w:val="7C7E556E"/>
    <w:rsid w:val="7CCB1424"/>
    <w:rsid w:val="7CCB2628"/>
    <w:rsid w:val="7D4B6CF2"/>
    <w:rsid w:val="7D723D7A"/>
    <w:rsid w:val="7DC86131"/>
    <w:rsid w:val="7DC90FFE"/>
    <w:rsid w:val="7DCD64E1"/>
    <w:rsid w:val="7DD3269F"/>
    <w:rsid w:val="7DE17A8A"/>
    <w:rsid w:val="7DEA337D"/>
    <w:rsid w:val="7DEE5C49"/>
    <w:rsid w:val="7DFB62E3"/>
    <w:rsid w:val="7E2246AD"/>
    <w:rsid w:val="7E54482A"/>
    <w:rsid w:val="7E834979"/>
    <w:rsid w:val="7EB54847"/>
    <w:rsid w:val="7ED73662"/>
    <w:rsid w:val="7EDB6AD5"/>
    <w:rsid w:val="7F1A4A92"/>
    <w:rsid w:val="7F2E1319"/>
    <w:rsid w:val="7F57674C"/>
    <w:rsid w:val="7F654BFE"/>
    <w:rsid w:val="7F990893"/>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4"/>
    <w:qFormat/>
    <w:uiPriority w:val="0"/>
    <w:pPr>
      <w:keepNext/>
      <w:outlineLvl w:val="0"/>
    </w:pPr>
    <w:rPr>
      <w:rFonts w:ascii="仿宋_GB2312" w:eastAsia="仿宋_GB2312"/>
      <w:sz w:val="28"/>
    </w:rPr>
  </w:style>
  <w:style w:type="paragraph" w:styleId="5">
    <w:name w:val="heading 2"/>
    <w:basedOn w:val="1"/>
    <w:next w:val="1"/>
    <w:link w:val="9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96"/>
    <w:qFormat/>
    <w:uiPriority w:val="0"/>
    <w:pPr>
      <w:keepNext/>
      <w:keepLines/>
      <w:spacing w:before="260" w:after="260" w:line="413" w:lineRule="auto"/>
      <w:jc w:val="center"/>
      <w:outlineLvl w:val="2"/>
    </w:pPr>
    <w:rPr>
      <w:b/>
      <w:sz w:val="32"/>
    </w:rPr>
  </w:style>
  <w:style w:type="paragraph" w:styleId="7">
    <w:name w:val="heading 4"/>
    <w:basedOn w:val="1"/>
    <w:next w:val="8"/>
    <w:link w:val="99"/>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9">
    <w:name w:val="heading 5"/>
    <w:basedOn w:val="1"/>
    <w:next w:val="1"/>
    <w:link w:val="100"/>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10">
    <w:name w:val="heading 6"/>
    <w:basedOn w:val="1"/>
    <w:next w:val="1"/>
    <w:link w:val="101"/>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11">
    <w:name w:val="heading 7"/>
    <w:basedOn w:val="1"/>
    <w:next w:val="1"/>
    <w:link w:val="102"/>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2">
    <w:name w:val="heading 8"/>
    <w:basedOn w:val="1"/>
    <w:next w:val="1"/>
    <w:link w:val="103"/>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3">
    <w:name w:val="heading 9"/>
    <w:basedOn w:val="1"/>
    <w:next w:val="1"/>
    <w:link w:val="104"/>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5">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106"/>
    <w:qFormat/>
    <w:uiPriority w:val="0"/>
    <w:pPr>
      <w:ind w:left="720" w:firstLine="360"/>
    </w:pPr>
    <w:rPr>
      <w:szCs w:val="24"/>
    </w:rPr>
  </w:style>
  <w:style w:type="paragraph" w:styleId="8">
    <w:name w:val="Normal Indent"/>
    <w:basedOn w:val="1"/>
    <w:link w:val="121"/>
    <w:qFormat/>
    <w:uiPriority w:val="0"/>
    <w:pPr>
      <w:autoSpaceDE w:val="0"/>
      <w:autoSpaceDN w:val="0"/>
      <w:spacing w:line="360" w:lineRule="auto"/>
      <w:ind w:left="181" w:firstLine="420"/>
    </w:pPr>
    <w:rPr>
      <w:sz w:val="24"/>
    </w:rPr>
  </w:style>
  <w:style w:type="paragraph" w:styleId="14">
    <w:name w:val="List Number"/>
    <w:basedOn w:val="1"/>
    <w:qFormat/>
    <w:uiPriority w:val="0"/>
    <w:pPr>
      <w:numPr>
        <w:ilvl w:val="0"/>
        <w:numId w:val="1"/>
      </w:numPr>
    </w:pPr>
  </w:style>
  <w:style w:type="paragraph" w:styleId="15">
    <w:name w:val="Document Map"/>
    <w:basedOn w:val="1"/>
    <w:link w:val="118"/>
    <w:qFormat/>
    <w:uiPriority w:val="0"/>
    <w:rPr>
      <w:rFonts w:ascii="宋体"/>
      <w:sz w:val="18"/>
      <w:szCs w:val="18"/>
    </w:rPr>
  </w:style>
  <w:style w:type="paragraph" w:styleId="16">
    <w:name w:val="annotation text"/>
    <w:basedOn w:val="1"/>
    <w:link w:val="119"/>
    <w:semiHidden/>
    <w:qFormat/>
    <w:uiPriority w:val="0"/>
    <w:pPr>
      <w:jc w:val="left"/>
    </w:pPr>
    <w:rPr>
      <w:szCs w:val="24"/>
    </w:rPr>
  </w:style>
  <w:style w:type="paragraph" w:styleId="17">
    <w:name w:val="Salutation"/>
    <w:basedOn w:val="1"/>
    <w:next w:val="1"/>
    <w:link w:val="108"/>
    <w:qFormat/>
    <w:uiPriority w:val="0"/>
    <w:rPr>
      <w:szCs w:val="24"/>
    </w:rPr>
  </w:style>
  <w:style w:type="paragraph" w:styleId="18">
    <w:name w:val="Body Text 3"/>
    <w:basedOn w:val="1"/>
    <w:link w:val="111"/>
    <w:qFormat/>
    <w:uiPriority w:val="0"/>
    <w:pPr>
      <w:spacing w:line="300" w:lineRule="auto"/>
    </w:pPr>
    <w:rPr>
      <w:rFonts w:ascii="宋体" w:hAnsi="宋体" w:cs="Arial"/>
      <w:b/>
      <w:szCs w:val="24"/>
    </w:rPr>
  </w:style>
  <w:style w:type="paragraph" w:styleId="19">
    <w:name w:val="Body Text"/>
    <w:basedOn w:val="1"/>
    <w:link w:val="97"/>
    <w:qFormat/>
    <w:uiPriority w:val="0"/>
    <w:pPr>
      <w:spacing w:line="480" w:lineRule="auto"/>
      <w:jc w:val="center"/>
    </w:pPr>
    <w:rPr>
      <w:rFonts w:hint="eastAsia" w:ascii="宋体" w:eastAsia="楷体_GB2312"/>
      <w:b/>
      <w:sz w:val="72"/>
    </w:rPr>
  </w:style>
  <w:style w:type="paragraph" w:styleId="20">
    <w:name w:val="List 2"/>
    <w:basedOn w:val="1"/>
    <w:qFormat/>
    <w:uiPriority w:val="0"/>
    <w:pPr>
      <w:ind w:left="100" w:leftChars="200" w:hanging="200" w:hangingChars="200"/>
    </w:pPr>
    <w:rPr>
      <w:szCs w:val="24"/>
    </w:rPr>
  </w:style>
  <w:style w:type="paragraph" w:styleId="21">
    <w:name w:val="Plain Text"/>
    <w:basedOn w:val="1"/>
    <w:link w:val="98"/>
    <w:qFormat/>
    <w:uiPriority w:val="0"/>
    <w:rPr>
      <w:rFonts w:hint="eastAsia" w:ascii="宋体" w:hAnsi="Courier New"/>
    </w:rPr>
  </w:style>
  <w:style w:type="paragraph" w:styleId="22">
    <w:name w:val="Date"/>
    <w:basedOn w:val="1"/>
    <w:next w:val="1"/>
    <w:link w:val="110"/>
    <w:qFormat/>
    <w:uiPriority w:val="0"/>
    <w:pPr>
      <w:ind w:left="100" w:leftChars="2500"/>
    </w:pPr>
    <w:rPr>
      <w:rFonts w:ascii="宋体" w:hAnsi="宋体"/>
      <w:bCs/>
      <w:sz w:val="28"/>
      <w:szCs w:val="24"/>
    </w:rPr>
  </w:style>
  <w:style w:type="paragraph" w:styleId="23">
    <w:name w:val="Body Text Indent 2"/>
    <w:basedOn w:val="1"/>
    <w:link w:val="107"/>
    <w:qFormat/>
    <w:uiPriority w:val="0"/>
    <w:pPr>
      <w:ind w:left="718" w:leftChars="342" w:firstLine="560" w:firstLineChars="200"/>
    </w:pPr>
    <w:rPr>
      <w:rFonts w:ascii="宋体-18030" w:hAnsi="宋体-18030" w:eastAsia="宋体-18030"/>
      <w:sz w:val="28"/>
      <w:szCs w:val="24"/>
    </w:rPr>
  </w:style>
  <w:style w:type="paragraph" w:styleId="24">
    <w:name w:val="Balloon Text"/>
    <w:basedOn w:val="1"/>
    <w:link w:val="116"/>
    <w:semiHidden/>
    <w:qFormat/>
    <w:uiPriority w:val="0"/>
    <w:rPr>
      <w:sz w:val="18"/>
      <w:szCs w:val="18"/>
    </w:rPr>
  </w:style>
  <w:style w:type="paragraph" w:styleId="25">
    <w:name w:val="footer"/>
    <w:basedOn w:val="1"/>
    <w:link w:val="93"/>
    <w:unhideWhenUsed/>
    <w:qFormat/>
    <w:uiPriority w:val="0"/>
    <w:pPr>
      <w:tabs>
        <w:tab w:val="center" w:pos="4153"/>
        <w:tab w:val="right" w:pos="8306"/>
      </w:tabs>
      <w:snapToGrid w:val="0"/>
      <w:jc w:val="left"/>
    </w:pPr>
    <w:rPr>
      <w:sz w:val="18"/>
      <w:szCs w:val="18"/>
    </w:rPr>
  </w:style>
  <w:style w:type="paragraph" w:styleId="26">
    <w:name w:val="header"/>
    <w:basedOn w:val="1"/>
    <w:link w:val="92"/>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pPr>
      <w:tabs>
        <w:tab w:val="right" w:leader="dot" w:pos="9394"/>
      </w:tabs>
      <w:adjustRightInd w:val="0"/>
      <w:textAlignment w:val="baseline"/>
    </w:pPr>
    <w:rPr>
      <w:szCs w:val="24"/>
    </w:rPr>
  </w:style>
  <w:style w:type="paragraph" w:styleId="28">
    <w:name w:val="Body Text Indent 3"/>
    <w:basedOn w:val="1"/>
    <w:link w:val="105"/>
    <w:qFormat/>
    <w:uiPriority w:val="0"/>
    <w:pPr>
      <w:ind w:firstLine="420" w:firstLineChars="200"/>
    </w:pPr>
    <w:rPr>
      <w:szCs w:val="24"/>
    </w:rPr>
  </w:style>
  <w:style w:type="paragraph" w:styleId="29">
    <w:name w:val="Body Text 2"/>
    <w:basedOn w:val="1"/>
    <w:link w:val="109"/>
    <w:qFormat/>
    <w:uiPriority w:val="0"/>
    <w:pPr>
      <w:spacing w:after="120" w:line="480" w:lineRule="auto"/>
    </w:pPr>
    <w:rPr>
      <w:szCs w:val="24"/>
    </w:rPr>
  </w:style>
  <w:style w:type="paragraph" w:styleId="3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1">
    <w:name w:val="Title"/>
    <w:basedOn w:val="1"/>
    <w:link w:val="113"/>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2">
    <w:name w:val="Body Text First Indent"/>
    <w:basedOn w:val="19"/>
    <w:link w:val="120"/>
    <w:qFormat/>
    <w:uiPriority w:val="0"/>
    <w:pPr>
      <w:spacing w:after="120" w:line="240" w:lineRule="auto"/>
      <w:ind w:firstLine="420" w:firstLineChars="100"/>
      <w:jc w:val="both"/>
    </w:pPr>
    <w:rPr>
      <w:rFonts w:hint="default" w:ascii="Times New Roman" w:eastAsia="宋体"/>
      <w:b w:val="0"/>
      <w:sz w:val="21"/>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0"/>
    <w:rPr>
      <w:color w:val="0000CC"/>
      <w:u w:val="single"/>
    </w:rPr>
  </w:style>
  <w:style w:type="character" w:styleId="40">
    <w:name w:val="annotation reference"/>
    <w:semiHidden/>
    <w:qFormat/>
    <w:uiPriority w:val="0"/>
    <w:rPr>
      <w:sz w:val="21"/>
      <w:szCs w:val="21"/>
    </w:rPr>
  </w:style>
  <w:style w:type="paragraph" w:customStyle="1" w:styleId="41">
    <w:name w:val="默认段落字体 Para Char"/>
    <w:basedOn w:val="1"/>
    <w:qFormat/>
    <w:uiPriority w:val="0"/>
    <w:pPr>
      <w:adjustRightInd w:val="0"/>
      <w:spacing w:line="360" w:lineRule="auto"/>
    </w:pPr>
    <w:rPr>
      <w:kern w:val="0"/>
      <w:sz w:val="24"/>
    </w:rPr>
  </w:style>
  <w:style w:type="paragraph" w:customStyle="1" w:styleId="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4">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5">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6">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7">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8">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60">
    <w:name w:val="样式1"/>
    <w:basedOn w:val="1"/>
    <w:qFormat/>
    <w:uiPriority w:val="0"/>
    <w:pPr>
      <w:spacing w:line="360" w:lineRule="auto"/>
    </w:pPr>
    <w:rPr>
      <w:sz w:val="24"/>
    </w:rPr>
  </w:style>
  <w:style w:type="paragraph" w:customStyle="1" w:styleId="61">
    <w:name w:val="样式 标题 2H2h2Underrubrik1prop2标题 1.1Heading 2 HiddenHeading..."/>
    <w:basedOn w:val="5"/>
    <w:qFormat/>
    <w:uiPriority w:val="0"/>
    <w:pPr>
      <w:spacing w:line="240" w:lineRule="auto"/>
    </w:pPr>
    <w:rPr>
      <w:rFonts w:eastAsia="宋体"/>
      <w:szCs w:val="20"/>
    </w:rPr>
  </w:style>
  <w:style w:type="paragraph" w:customStyle="1" w:styleId="62">
    <w:name w:val="样式 标题 3H3h3Bold Headbh33rd levelh4Head 3level_3PIM 3L..."/>
    <w:basedOn w:val="6"/>
    <w:qFormat/>
    <w:uiPriority w:val="0"/>
    <w:pPr>
      <w:spacing w:line="416" w:lineRule="atLeast"/>
      <w:jc w:val="both"/>
    </w:pPr>
    <w:rPr>
      <w:bCs/>
    </w:rPr>
  </w:style>
  <w:style w:type="paragraph" w:customStyle="1" w:styleId="6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
    <w:name w:val="1"/>
    <w:basedOn w:val="1"/>
    <w:next w:val="21"/>
    <w:qFormat/>
    <w:uiPriority w:val="0"/>
    <w:rPr>
      <w:rFonts w:ascii="宋体" w:hAnsi="Courier New"/>
    </w:rPr>
  </w:style>
  <w:style w:type="paragraph" w:customStyle="1" w:styleId="65">
    <w:name w:val="手册-正文 Char Char Char Char"/>
    <w:link w:val="112"/>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6">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7">
    <w:name w:val="手册-图"/>
    <w:basedOn w:val="65"/>
    <w:qFormat/>
    <w:uiPriority w:val="0"/>
    <w:pPr>
      <w:ind w:firstLine="0" w:firstLineChars="0"/>
      <w:jc w:val="center"/>
    </w:pPr>
    <w:rPr>
      <w:rFonts w:eastAsia="黑体"/>
    </w:rPr>
  </w:style>
  <w:style w:type="paragraph" w:customStyle="1" w:styleId="68">
    <w:name w:val="手册-表"/>
    <w:basedOn w:val="67"/>
    <w:qFormat/>
    <w:uiPriority w:val="0"/>
  </w:style>
  <w:style w:type="paragraph" w:customStyle="1" w:styleId="69">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70">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1">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2">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3">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4">
    <w:name w:val="CRV 正文"/>
    <w:basedOn w:val="8"/>
    <w:qFormat/>
    <w:uiPriority w:val="0"/>
    <w:pPr>
      <w:adjustRightInd w:val="0"/>
      <w:ind w:left="0" w:firstLine="200" w:firstLineChars="200"/>
      <w:textAlignment w:val="baseline"/>
    </w:pPr>
    <w:rPr>
      <w:szCs w:val="24"/>
    </w:rPr>
  </w:style>
  <w:style w:type="paragraph" w:customStyle="1" w:styleId="75">
    <w:name w:val="手册-正文"/>
    <w:link w:val="114"/>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6">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7">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8">
    <w:name w:val="样式 标题 1H1Heading 0 + (西文) 黑体 (中文) 黑体 加粗 底端: (阳文三维 自动设置  3..."/>
    <w:basedOn w:val="4"/>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9">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w:basedOn w:val="1"/>
    <w:qFormat/>
    <w:uiPriority w:val="0"/>
    <w:pPr>
      <w:tabs>
        <w:tab w:val="left" w:pos="432"/>
      </w:tabs>
      <w:ind w:left="432" w:hanging="432"/>
    </w:pPr>
    <w:rPr>
      <w:sz w:val="24"/>
      <w:szCs w:val="24"/>
    </w:rPr>
  </w:style>
  <w:style w:type="paragraph" w:customStyle="1" w:styleId="81">
    <w:name w:val="Char1 Char Char Char"/>
    <w:basedOn w:val="1"/>
    <w:qFormat/>
    <w:uiPriority w:val="0"/>
    <w:rPr>
      <w:rFonts w:ascii="Tahoma" w:hAnsi="Tahoma"/>
      <w:sz w:val="24"/>
    </w:rPr>
  </w:style>
  <w:style w:type="paragraph" w:customStyle="1" w:styleId="82">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3">
    <w:name w:val="Char1"/>
    <w:basedOn w:val="1"/>
    <w:qFormat/>
    <w:uiPriority w:val="0"/>
    <w:rPr>
      <w:rFonts w:ascii="Tahoma" w:hAnsi="Tahoma"/>
    </w:rPr>
  </w:style>
  <w:style w:type="paragraph" w:customStyle="1" w:styleId="84">
    <w:name w:val="默认段落字体 Para Char Char Char Char"/>
    <w:basedOn w:val="1"/>
    <w:qFormat/>
    <w:uiPriority w:val="0"/>
    <w:rPr>
      <w:szCs w:val="24"/>
    </w:rPr>
  </w:style>
  <w:style w:type="paragraph" w:customStyle="1" w:styleId="85">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7">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8">
    <w:name w:val="列出段落1"/>
    <w:basedOn w:val="1"/>
    <w:qFormat/>
    <w:uiPriority w:val="0"/>
    <w:pPr>
      <w:ind w:firstLine="420" w:firstLineChars="200"/>
    </w:pPr>
    <w:rPr>
      <w:szCs w:val="24"/>
    </w:rPr>
  </w:style>
  <w:style w:type="paragraph" w:customStyle="1" w:styleId="89">
    <w:name w:val="正文文本缩进 31"/>
    <w:basedOn w:val="1"/>
    <w:qFormat/>
    <w:uiPriority w:val="0"/>
    <w:pPr>
      <w:spacing w:after="120"/>
      <w:ind w:left="420" w:leftChars="200"/>
    </w:pPr>
    <w:rPr>
      <w:kern w:val="0"/>
      <w:sz w:val="16"/>
      <w:szCs w:val="16"/>
    </w:rPr>
  </w:style>
  <w:style w:type="paragraph" w:customStyle="1" w:styleId="90">
    <w:name w:val="列出段落2"/>
    <w:basedOn w:val="1"/>
    <w:qFormat/>
    <w:uiPriority w:val="0"/>
    <w:pPr>
      <w:ind w:firstLine="420" w:firstLineChars="200"/>
    </w:pPr>
  </w:style>
  <w:style w:type="paragraph" w:customStyle="1" w:styleId="91">
    <w:name w:val="列出段落3"/>
    <w:basedOn w:val="1"/>
    <w:qFormat/>
    <w:uiPriority w:val="34"/>
    <w:pPr>
      <w:ind w:firstLine="420" w:firstLineChars="200"/>
    </w:pPr>
  </w:style>
  <w:style w:type="character" w:customStyle="1" w:styleId="92">
    <w:name w:val="页眉 Char"/>
    <w:link w:val="26"/>
    <w:qFormat/>
    <w:uiPriority w:val="0"/>
    <w:rPr>
      <w:sz w:val="18"/>
      <w:szCs w:val="18"/>
    </w:rPr>
  </w:style>
  <w:style w:type="character" w:customStyle="1" w:styleId="93">
    <w:name w:val="页脚 Char"/>
    <w:link w:val="25"/>
    <w:qFormat/>
    <w:uiPriority w:val="0"/>
    <w:rPr>
      <w:sz w:val="18"/>
      <w:szCs w:val="18"/>
    </w:rPr>
  </w:style>
  <w:style w:type="character" w:customStyle="1" w:styleId="94">
    <w:name w:val="标题 1 Char"/>
    <w:link w:val="4"/>
    <w:qFormat/>
    <w:uiPriority w:val="0"/>
    <w:rPr>
      <w:rFonts w:ascii="仿宋_GB2312" w:hAnsi="Times New Roman" w:eastAsia="仿宋_GB2312" w:cs="Times New Roman"/>
      <w:sz w:val="28"/>
      <w:szCs w:val="20"/>
    </w:rPr>
  </w:style>
  <w:style w:type="character" w:customStyle="1" w:styleId="95">
    <w:name w:val="标题 2 Char"/>
    <w:link w:val="5"/>
    <w:qFormat/>
    <w:uiPriority w:val="0"/>
    <w:rPr>
      <w:rFonts w:ascii="Arial" w:hAnsi="Arial" w:eastAsia="黑体" w:cs="Times New Roman"/>
      <w:b/>
      <w:bCs/>
      <w:sz w:val="32"/>
      <w:szCs w:val="32"/>
    </w:rPr>
  </w:style>
  <w:style w:type="character" w:customStyle="1" w:styleId="96">
    <w:name w:val="标题 3 Char"/>
    <w:link w:val="6"/>
    <w:qFormat/>
    <w:uiPriority w:val="0"/>
    <w:rPr>
      <w:rFonts w:ascii="Times New Roman" w:hAnsi="Times New Roman" w:eastAsia="宋体" w:cs="Times New Roman"/>
      <w:b/>
      <w:sz w:val="32"/>
      <w:szCs w:val="20"/>
    </w:rPr>
  </w:style>
  <w:style w:type="character" w:customStyle="1" w:styleId="97">
    <w:name w:val="正文文本 Char"/>
    <w:link w:val="19"/>
    <w:qFormat/>
    <w:uiPriority w:val="0"/>
    <w:rPr>
      <w:rFonts w:ascii="宋体" w:hAnsi="Times New Roman" w:eastAsia="楷体_GB2312" w:cs="Times New Roman"/>
      <w:b/>
      <w:sz w:val="72"/>
      <w:szCs w:val="20"/>
    </w:rPr>
  </w:style>
  <w:style w:type="character" w:customStyle="1" w:styleId="98">
    <w:name w:val="纯文本 Char"/>
    <w:link w:val="21"/>
    <w:qFormat/>
    <w:uiPriority w:val="0"/>
    <w:rPr>
      <w:rFonts w:ascii="宋体" w:hAnsi="Courier New" w:eastAsia="宋体" w:cs="Times New Roman"/>
      <w:szCs w:val="20"/>
    </w:rPr>
  </w:style>
  <w:style w:type="character" w:customStyle="1" w:styleId="99">
    <w:name w:val="标题 4 Char"/>
    <w:link w:val="7"/>
    <w:qFormat/>
    <w:uiPriority w:val="0"/>
    <w:rPr>
      <w:rFonts w:ascii="宋体" w:hAnsi="Arial" w:eastAsia="宋体" w:cs="Times New Roman"/>
      <w:snapToGrid w:val="0"/>
      <w:color w:val="000000"/>
      <w:kern w:val="0"/>
      <w:szCs w:val="20"/>
    </w:rPr>
  </w:style>
  <w:style w:type="character" w:customStyle="1" w:styleId="100">
    <w:name w:val="标题 5 Char"/>
    <w:link w:val="9"/>
    <w:qFormat/>
    <w:uiPriority w:val="0"/>
    <w:rPr>
      <w:rFonts w:ascii="Times New Roman" w:hAnsi="Times New Roman" w:eastAsia="宋体" w:cs="Times New Roman"/>
      <w:b/>
      <w:bCs/>
      <w:sz w:val="28"/>
      <w:szCs w:val="28"/>
    </w:rPr>
  </w:style>
  <w:style w:type="character" w:customStyle="1" w:styleId="101">
    <w:name w:val="标题 6 Char"/>
    <w:link w:val="10"/>
    <w:qFormat/>
    <w:uiPriority w:val="0"/>
    <w:rPr>
      <w:rFonts w:ascii="Arial" w:hAnsi="Arial" w:eastAsia="黑体" w:cs="Times New Roman"/>
      <w:b/>
      <w:bCs/>
      <w:sz w:val="24"/>
      <w:szCs w:val="24"/>
    </w:rPr>
  </w:style>
  <w:style w:type="character" w:customStyle="1" w:styleId="102">
    <w:name w:val="标题 7 Char"/>
    <w:link w:val="11"/>
    <w:qFormat/>
    <w:uiPriority w:val="0"/>
    <w:rPr>
      <w:rFonts w:ascii="Times New Roman" w:hAnsi="Times New Roman" w:eastAsia="宋体" w:cs="Times New Roman"/>
      <w:b/>
      <w:bCs/>
      <w:sz w:val="24"/>
      <w:szCs w:val="24"/>
    </w:rPr>
  </w:style>
  <w:style w:type="character" w:customStyle="1" w:styleId="103">
    <w:name w:val="标题 8 Char"/>
    <w:link w:val="12"/>
    <w:qFormat/>
    <w:uiPriority w:val="0"/>
    <w:rPr>
      <w:rFonts w:ascii="Arial" w:hAnsi="Arial" w:eastAsia="黑体" w:cs="Times New Roman"/>
      <w:sz w:val="24"/>
      <w:szCs w:val="24"/>
    </w:rPr>
  </w:style>
  <w:style w:type="character" w:customStyle="1" w:styleId="104">
    <w:name w:val="标题 9 Char"/>
    <w:link w:val="13"/>
    <w:qFormat/>
    <w:uiPriority w:val="0"/>
    <w:rPr>
      <w:rFonts w:ascii="Arial" w:hAnsi="Arial" w:eastAsia="黑体" w:cs="Times New Roman"/>
      <w:szCs w:val="21"/>
    </w:rPr>
  </w:style>
  <w:style w:type="character" w:customStyle="1" w:styleId="105">
    <w:name w:val="正文文本缩进 3 Char"/>
    <w:link w:val="28"/>
    <w:qFormat/>
    <w:uiPriority w:val="0"/>
    <w:rPr>
      <w:rFonts w:ascii="Times New Roman" w:hAnsi="Times New Roman" w:eastAsia="宋体" w:cs="Times New Roman"/>
      <w:szCs w:val="24"/>
    </w:rPr>
  </w:style>
  <w:style w:type="character" w:customStyle="1" w:styleId="106">
    <w:name w:val="正文文本缩进 Char"/>
    <w:link w:val="3"/>
    <w:qFormat/>
    <w:uiPriority w:val="0"/>
    <w:rPr>
      <w:rFonts w:ascii="Times New Roman" w:hAnsi="Times New Roman" w:eastAsia="宋体" w:cs="Times New Roman"/>
      <w:szCs w:val="24"/>
    </w:rPr>
  </w:style>
  <w:style w:type="character" w:customStyle="1" w:styleId="107">
    <w:name w:val="正文文本缩进 2 Char"/>
    <w:link w:val="23"/>
    <w:qFormat/>
    <w:uiPriority w:val="0"/>
    <w:rPr>
      <w:rFonts w:ascii="宋体-18030" w:hAnsi="宋体-18030" w:eastAsia="宋体-18030" w:cs="Times New Roman"/>
      <w:sz w:val="28"/>
      <w:szCs w:val="24"/>
    </w:rPr>
  </w:style>
  <w:style w:type="character" w:customStyle="1" w:styleId="108">
    <w:name w:val="称呼 Char"/>
    <w:link w:val="17"/>
    <w:qFormat/>
    <w:uiPriority w:val="0"/>
    <w:rPr>
      <w:rFonts w:ascii="Times New Roman" w:hAnsi="Times New Roman" w:eastAsia="宋体" w:cs="Times New Roman"/>
      <w:szCs w:val="24"/>
    </w:rPr>
  </w:style>
  <w:style w:type="character" w:customStyle="1" w:styleId="109">
    <w:name w:val="正文文本 2 Char"/>
    <w:link w:val="29"/>
    <w:qFormat/>
    <w:uiPriority w:val="0"/>
    <w:rPr>
      <w:rFonts w:ascii="Times New Roman" w:hAnsi="Times New Roman" w:eastAsia="宋体" w:cs="Times New Roman"/>
      <w:szCs w:val="24"/>
    </w:rPr>
  </w:style>
  <w:style w:type="character" w:customStyle="1" w:styleId="110">
    <w:name w:val="日期 Char"/>
    <w:link w:val="22"/>
    <w:qFormat/>
    <w:uiPriority w:val="0"/>
    <w:rPr>
      <w:rFonts w:ascii="宋体" w:hAnsi="宋体" w:eastAsia="宋体" w:cs="Times New Roman"/>
      <w:bCs/>
      <w:sz w:val="28"/>
      <w:szCs w:val="24"/>
    </w:rPr>
  </w:style>
  <w:style w:type="character" w:customStyle="1" w:styleId="111">
    <w:name w:val="正文文本 3 Char"/>
    <w:link w:val="18"/>
    <w:qFormat/>
    <w:uiPriority w:val="0"/>
    <w:rPr>
      <w:rFonts w:ascii="宋体" w:hAnsi="宋体" w:eastAsia="宋体" w:cs="Arial"/>
      <w:b/>
      <w:szCs w:val="24"/>
    </w:rPr>
  </w:style>
  <w:style w:type="character" w:customStyle="1" w:styleId="112">
    <w:name w:val="手册-正文 Char Char Char Char Char"/>
    <w:link w:val="65"/>
    <w:qFormat/>
    <w:uiPriority w:val="0"/>
    <w:rPr>
      <w:rFonts w:ascii="Times New Roman" w:hAnsi="Times New Roman" w:eastAsia="宋体" w:cs="Times New Roman"/>
      <w:kern w:val="0"/>
      <w:sz w:val="22"/>
      <w:szCs w:val="20"/>
    </w:rPr>
  </w:style>
  <w:style w:type="character" w:customStyle="1" w:styleId="113">
    <w:name w:val="标题 Char"/>
    <w:link w:val="31"/>
    <w:qFormat/>
    <w:uiPriority w:val="0"/>
    <w:rPr>
      <w:rFonts w:ascii="Arial" w:hAnsi="Arial" w:eastAsia="宋体" w:cs="Arial"/>
      <w:b/>
      <w:bCs/>
      <w:sz w:val="32"/>
      <w:szCs w:val="32"/>
    </w:rPr>
  </w:style>
  <w:style w:type="character" w:customStyle="1" w:styleId="114">
    <w:name w:val="手册-正文 Char"/>
    <w:link w:val="75"/>
    <w:qFormat/>
    <w:uiPriority w:val="0"/>
    <w:rPr>
      <w:rFonts w:ascii="Times New Roman" w:hAnsi="Times New Roman" w:eastAsia="宋体" w:cs="Times New Roman"/>
      <w:kern w:val="0"/>
      <w:szCs w:val="20"/>
    </w:rPr>
  </w:style>
  <w:style w:type="character" w:customStyle="1" w:styleId="115">
    <w:name w:val="手册-正文 Char Char Char Char Char1"/>
    <w:qFormat/>
    <w:uiPriority w:val="0"/>
    <w:rPr>
      <w:rFonts w:eastAsia="宋体"/>
      <w:sz w:val="22"/>
      <w:lang w:val="en-US" w:eastAsia="zh-CN" w:bidi="ar-SA"/>
    </w:rPr>
  </w:style>
  <w:style w:type="character" w:customStyle="1" w:styleId="116">
    <w:name w:val="批注框文本 Char"/>
    <w:link w:val="24"/>
    <w:semiHidden/>
    <w:qFormat/>
    <w:uiPriority w:val="0"/>
    <w:rPr>
      <w:rFonts w:ascii="Times New Roman" w:hAnsi="Times New Roman" w:eastAsia="宋体" w:cs="Times New Roman"/>
      <w:sz w:val="18"/>
      <w:szCs w:val="18"/>
    </w:rPr>
  </w:style>
  <w:style w:type="character" w:customStyle="1" w:styleId="117">
    <w:name w:val="unnamed1"/>
    <w:basedOn w:val="35"/>
    <w:qFormat/>
    <w:uiPriority w:val="0"/>
  </w:style>
  <w:style w:type="character" w:customStyle="1" w:styleId="118">
    <w:name w:val="文档结构图 Char"/>
    <w:link w:val="15"/>
    <w:qFormat/>
    <w:uiPriority w:val="0"/>
    <w:rPr>
      <w:rFonts w:ascii="宋体" w:hAnsi="Times New Roman" w:eastAsia="宋体" w:cs="Times New Roman"/>
      <w:sz w:val="18"/>
      <w:szCs w:val="18"/>
    </w:rPr>
  </w:style>
  <w:style w:type="character" w:customStyle="1" w:styleId="119">
    <w:name w:val="批注文字 Char"/>
    <w:link w:val="16"/>
    <w:semiHidden/>
    <w:qFormat/>
    <w:uiPriority w:val="0"/>
    <w:rPr>
      <w:rFonts w:ascii="Times New Roman" w:hAnsi="Times New Roman" w:eastAsia="宋体" w:cs="Times New Roman"/>
      <w:szCs w:val="24"/>
    </w:rPr>
  </w:style>
  <w:style w:type="character" w:customStyle="1" w:styleId="120">
    <w:name w:val="正文首行缩进 Char"/>
    <w:link w:val="32"/>
    <w:qFormat/>
    <w:uiPriority w:val="0"/>
    <w:rPr>
      <w:rFonts w:ascii="Times New Roman" w:hAnsi="Times New Roman" w:eastAsia="宋体" w:cs="Times New Roman"/>
      <w:sz w:val="72"/>
      <w:szCs w:val="24"/>
    </w:rPr>
  </w:style>
  <w:style w:type="character" w:customStyle="1" w:styleId="121">
    <w:name w:val="正文缩进 Char"/>
    <w:link w:val="8"/>
    <w:qFormat/>
    <w:uiPriority w:val="0"/>
    <w:rPr>
      <w:rFonts w:ascii="Times New Roman" w:hAnsi="Times New Roman" w:eastAsia="宋体" w:cs="Times New Roman"/>
      <w:sz w:val="24"/>
      <w:szCs w:val="20"/>
    </w:rPr>
  </w:style>
  <w:style w:type="character" w:customStyle="1" w:styleId="122">
    <w:name w:val="font51"/>
    <w:qFormat/>
    <w:uiPriority w:val="0"/>
    <w:rPr>
      <w:rFonts w:hint="default" w:ascii="Arial" w:hAnsi="Arial" w:cs="Arial"/>
      <w:color w:val="000000"/>
      <w:sz w:val="20"/>
      <w:szCs w:val="20"/>
      <w:u w:val="none"/>
    </w:rPr>
  </w:style>
  <w:style w:type="character" w:customStyle="1" w:styleId="123">
    <w:name w:val="font61"/>
    <w:qFormat/>
    <w:uiPriority w:val="0"/>
    <w:rPr>
      <w:rFonts w:hint="eastAsia" w:ascii="宋体" w:hAnsi="宋体" w:eastAsia="宋体"/>
      <w:color w:val="000000"/>
      <w:sz w:val="20"/>
      <w:szCs w:val="20"/>
      <w:u w:val="none"/>
    </w:rPr>
  </w:style>
  <w:style w:type="paragraph" w:customStyle="1" w:styleId="12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32</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2021-12-16T08:34:28Z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