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江苏常熟农村商业银行股份有限公司</w:t>
      </w:r>
    </w:p>
    <w:p>
      <w:pPr>
        <w:tabs>
          <w:tab w:val="left" w:pos="8280"/>
        </w:tabs>
        <w:spacing w:line="480" w:lineRule="auto"/>
        <w:rPr>
          <w:rFonts w:hint="default" w:ascii="仿宋" w:hAnsi="仿宋" w:eastAsia="仿宋" w:cs="仿宋"/>
          <w:b/>
          <w:color w:val="000000"/>
          <w:sz w:val="28"/>
          <w:szCs w:val="28"/>
          <w:lang w:val="en-US" w:eastAsia="zh-CN"/>
        </w:rPr>
      </w:pPr>
      <w:r>
        <w:rPr>
          <w:rFonts w:hint="eastAsia" w:ascii="仿宋" w:hAnsi="仿宋" w:eastAsia="仿宋" w:cs="仿宋"/>
          <w:b/>
          <w:color w:val="000000"/>
          <w:sz w:val="28"/>
          <w:szCs w:val="28"/>
        </w:rPr>
        <w:t>招标编号：</w:t>
      </w:r>
      <w:r>
        <w:rPr>
          <w:rFonts w:hint="eastAsia" w:ascii="仿宋" w:hAnsi="仿宋" w:eastAsia="仿宋" w:cs="仿宋"/>
          <w:b/>
          <w:color w:val="000000"/>
          <w:sz w:val="28"/>
          <w:szCs w:val="28"/>
          <w:lang w:val="en-US" w:eastAsia="zh-CN"/>
        </w:rPr>
        <w:t>20210065</w:t>
      </w: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tabs>
          <w:tab w:val="left" w:pos="8280"/>
        </w:tabs>
        <w:spacing w:line="480" w:lineRule="auto"/>
        <w:rPr>
          <w:rFonts w:ascii="宋体" w:hAnsi="宋体"/>
          <w:b/>
          <w:color w:val="000000"/>
          <w:sz w:val="28"/>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color w:val="000000"/>
          <w:sz w:val="44"/>
          <w:szCs w:val="44"/>
        </w:rPr>
      </w:pPr>
      <w:r>
        <w:rPr>
          <w:rFonts w:hint="eastAsia" w:ascii="仿宋" w:hAnsi="仿宋" w:eastAsia="仿宋" w:cs="仿宋"/>
          <w:color w:val="000000"/>
          <w:sz w:val="44"/>
          <w:szCs w:val="44"/>
        </w:rPr>
        <w:t>招标书</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p>
    <w:p>
      <w:pPr>
        <w:autoSpaceDE w:val="0"/>
        <w:autoSpaceDN w:val="0"/>
        <w:adjustRightInd w:val="0"/>
        <w:spacing w:line="560" w:lineRule="atLeast"/>
        <w:ind w:firstLine="624"/>
        <w:jc w:val="center"/>
        <w:rPr>
          <w:rFonts w:hint="eastAsia" w:ascii="仿宋" w:hAnsi="仿宋" w:eastAsia="仿宋" w:cs="仿宋"/>
          <w:b/>
          <w:snapToGrid w:val="0"/>
          <w:color w:val="000000"/>
          <w:sz w:val="28"/>
          <w:szCs w:val="28"/>
          <w:highlight w:val="yellow"/>
          <w:lang w:eastAsia="zh-CN"/>
        </w:rPr>
      </w:pPr>
      <w:r>
        <w:rPr>
          <w:rFonts w:hint="eastAsia" w:ascii="仿宋" w:hAnsi="仿宋" w:eastAsia="仿宋" w:cs="仿宋"/>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 w:hAnsi="仿宋" w:eastAsia="仿宋" w:cs="仿宋"/>
          <w:b w:val="0"/>
          <w:bCs/>
          <w:snapToGrid w:val="0"/>
          <w:color w:val="000000"/>
          <w:sz w:val="32"/>
          <w:szCs w:val="32"/>
          <w:highlight w:val="yellow"/>
        </w:rPr>
      </w:pPr>
      <w:r>
        <w:rPr>
          <w:rFonts w:hint="eastAsia" w:ascii="仿宋" w:hAnsi="仿宋" w:eastAsia="仿宋" w:cs="仿宋"/>
          <w:b w:val="0"/>
          <w:bCs/>
          <w:snapToGrid w:val="0"/>
          <w:color w:val="000000"/>
          <w:sz w:val="32"/>
          <w:szCs w:val="32"/>
          <w:highlight w:val="yellow"/>
          <w:lang w:val="en-US" w:eastAsia="zh-CN"/>
        </w:rPr>
        <w:t>2021</w:t>
      </w:r>
      <w:r>
        <w:rPr>
          <w:rFonts w:hint="eastAsia" w:ascii="仿宋" w:hAnsi="仿宋" w:eastAsia="仿宋" w:cs="仿宋"/>
          <w:b w:val="0"/>
          <w:bCs/>
          <w:snapToGrid w:val="0"/>
          <w:color w:val="000000"/>
          <w:sz w:val="32"/>
          <w:szCs w:val="32"/>
          <w:highlight w:val="yellow"/>
          <w:lang w:eastAsia="zh-CN"/>
        </w:rPr>
        <w:t>年</w:t>
      </w:r>
      <w:r>
        <w:rPr>
          <w:rFonts w:hint="eastAsia" w:ascii="仿宋" w:hAnsi="仿宋" w:eastAsia="仿宋" w:cs="仿宋"/>
          <w:b w:val="0"/>
          <w:bCs/>
          <w:snapToGrid w:val="0"/>
          <w:color w:val="000000"/>
          <w:sz w:val="32"/>
          <w:szCs w:val="32"/>
          <w:highlight w:val="yellow"/>
          <w:lang w:val="en-US" w:eastAsia="zh-CN"/>
        </w:rPr>
        <w:t>11</w:t>
      </w:r>
      <w:r>
        <w:rPr>
          <w:rFonts w:hint="eastAsia" w:ascii="仿宋" w:hAnsi="仿宋" w:eastAsia="仿宋" w:cs="仿宋"/>
          <w:b w:val="0"/>
          <w:bCs/>
          <w:snapToGrid w:val="0"/>
          <w:color w:val="000000"/>
          <w:sz w:val="32"/>
          <w:szCs w:val="32"/>
          <w:highlight w:val="yellow"/>
        </w:rPr>
        <w:t>月</w:t>
      </w:r>
      <w:r>
        <w:rPr>
          <w:rFonts w:hint="eastAsia" w:ascii="仿宋" w:hAnsi="仿宋" w:eastAsia="仿宋" w:cs="仿宋"/>
          <w:b w:val="0"/>
          <w:bCs/>
          <w:snapToGrid w:val="0"/>
          <w:color w:val="000000"/>
          <w:sz w:val="32"/>
          <w:szCs w:val="32"/>
          <w:highlight w:val="yellow"/>
          <w:lang w:val="en-US" w:eastAsia="zh-CN"/>
        </w:rPr>
        <w:t>26</w:t>
      </w:r>
      <w:r>
        <w:rPr>
          <w:rFonts w:hint="eastAsia" w:ascii="仿宋" w:hAnsi="仿宋" w:eastAsia="仿宋" w:cs="仿宋"/>
          <w:b w:val="0"/>
          <w:bCs/>
          <w:snapToGrid w:val="0"/>
          <w:color w:val="000000"/>
          <w:sz w:val="32"/>
          <w:szCs w:val="32"/>
          <w:highlight w:val="yellow"/>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 w:hAnsi="仿宋" w:eastAsia="仿宋" w:cs="仿宋"/>
          <w:b/>
          <w:bCs/>
          <w:snapToGrid w:val="0"/>
          <w:color w:val="000000"/>
          <w:sz w:val="32"/>
        </w:rPr>
      </w:pPr>
      <w:r>
        <w:rPr>
          <w:rFonts w:hint="eastAsia" w:ascii="宋体" w:hAnsi="宋体"/>
          <w:b/>
          <w:bCs/>
          <w:snapToGrid w:val="0"/>
          <w:color w:val="000000"/>
          <w:sz w:val="32"/>
        </w:rPr>
        <w:br w:type="page"/>
      </w:r>
      <w:r>
        <w:rPr>
          <w:rFonts w:hint="eastAsia" w:ascii="仿宋" w:hAnsi="仿宋" w:eastAsia="仿宋" w:cs="仿宋"/>
          <w:b/>
          <w:bCs/>
          <w:snapToGrid w:val="0"/>
          <w:color w:val="000000"/>
          <w:sz w:val="32"/>
        </w:rPr>
        <w:t>申   明</w:t>
      </w:r>
    </w:p>
    <w:p>
      <w:pPr>
        <w:autoSpaceDE w:val="0"/>
        <w:autoSpaceDN w:val="0"/>
        <w:adjustRightInd w:val="0"/>
        <w:spacing w:line="560" w:lineRule="atLeast"/>
        <w:ind w:firstLine="624"/>
        <w:jc w:val="center"/>
        <w:rPr>
          <w:rFonts w:hint="eastAsia" w:ascii="仿宋" w:hAnsi="仿宋" w:eastAsia="仿宋" w:cs="仿宋"/>
          <w:b/>
          <w:bCs/>
          <w:snapToGrid w:val="0"/>
          <w:color w:val="000000"/>
          <w:sz w:val="32"/>
        </w:rPr>
      </w:pPr>
    </w:p>
    <w:p>
      <w:pPr>
        <w:wordWrap w:val="0"/>
        <w:autoSpaceDE w:val="0"/>
        <w:autoSpaceDN w:val="0"/>
        <w:adjustRightInd w:val="0"/>
        <w:spacing w:line="560" w:lineRule="atLeast"/>
        <w:ind w:firstLine="624"/>
        <w:rPr>
          <w:rFonts w:hint="eastAsia" w:ascii="仿宋" w:hAnsi="仿宋" w:eastAsia="仿宋" w:cs="仿宋"/>
          <w:snapToGrid w:val="0"/>
          <w:color w:val="000000"/>
          <w:sz w:val="28"/>
        </w:rPr>
      </w:pPr>
      <w:r>
        <w:rPr>
          <w:rFonts w:hint="eastAsia" w:ascii="仿宋" w:hAnsi="仿宋" w:eastAsia="仿宋" w:cs="仿宋"/>
          <w:snapToGrid w:val="0"/>
          <w:color w:val="000000"/>
          <w:sz w:val="28"/>
        </w:rPr>
        <w:t>本招标文件专用于江苏常熟农村商业银行股份有限公司本次“</w:t>
      </w:r>
      <w:r>
        <w:rPr>
          <w:rFonts w:hint="eastAsia" w:ascii="仿宋" w:hAnsi="仿宋" w:eastAsia="仿宋" w:cs="仿宋"/>
          <w:snapToGrid w:val="0"/>
          <w:color w:val="000000"/>
          <w:sz w:val="28"/>
          <w:highlight w:val="yellow"/>
          <w:u w:val="single"/>
          <w:lang w:eastAsia="zh-CN"/>
        </w:rPr>
        <w:t>全面预算管理系统</w:t>
      </w:r>
      <w:r>
        <w:rPr>
          <w:rFonts w:hint="eastAsia" w:ascii="仿宋" w:hAnsi="仿宋" w:eastAsia="仿宋" w:cs="仿宋"/>
          <w:snapToGrid w:val="0"/>
          <w:color w:val="000000"/>
          <w:sz w:val="28"/>
          <w:highlight w:val="yellow"/>
          <w:u w:val="single"/>
        </w:rPr>
        <w:t>项目</w:t>
      </w:r>
      <w:r>
        <w:rPr>
          <w:rFonts w:hint="eastAsia" w:ascii="仿宋" w:hAnsi="仿宋" w:eastAsia="仿宋" w:cs="仿宋"/>
          <w:snapToGrid w:val="0"/>
          <w:color w:val="000000"/>
          <w:sz w:val="28"/>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 w:hAnsi="仿宋" w:eastAsia="仿宋" w:cs="仿宋"/>
          <w:b/>
          <w:bCs/>
          <w:snapToGrid w:val="0"/>
          <w:color w:val="000000"/>
          <w:sz w:val="30"/>
          <w:szCs w:val="30"/>
        </w:rPr>
      </w:pPr>
      <w:r>
        <w:rPr>
          <w:rFonts w:hint="eastAsia" w:ascii="仿宋" w:hAnsi="仿宋" w:eastAsia="仿宋" w:cs="仿宋"/>
          <w:snapToGrid w:val="0"/>
          <w:color w:val="000000"/>
        </w:rPr>
        <w:br w:type="page"/>
      </w:r>
      <w:r>
        <w:rPr>
          <w:rFonts w:hint="eastAsia" w:ascii="仿宋" w:hAnsi="仿宋" w:eastAsia="仿宋" w:cs="仿宋"/>
          <w:b/>
          <w:snapToGrid w:val="0"/>
          <w:szCs w:val="28"/>
        </w:rPr>
        <w:t>第一部分</w:t>
      </w:r>
      <w:r>
        <w:rPr>
          <w:rFonts w:hint="eastAsia" w:ascii="仿宋" w:hAnsi="仿宋" w:eastAsia="仿宋" w:cs="仿宋"/>
          <w:b/>
          <w:snapToGrid w:val="0"/>
          <w:szCs w:val="28"/>
          <w:lang w:val="en-US" w:eastAsia="zh-CN"/>
        </w:rPr>
        <w:t xml:space="preserve">  </w:t>
      </w:r>
      <w:r>
        <w:rPr>
          <w:rFonts w:hint="eastAsia" w:ascii="仿宋" w:hAnsi="仿宋" w:eastAsia="仿宋" w:cs="仿宋"/>
          <w:b/>
          <w:snapToGrid w:val="0"/>
          <w:szCs w:val="28"/>
        </w:rPr>
        <w:t>投标</w:t>
      </w:r>
      <w:bookmarkStart w:id="0" w:name="投标邀请函"/>
      <w:bookmarkEnd w:id="0"/>
      <w:r>
        <w:rPr>
          <w:rFonts w:hint="eastAsia" w:ascii="仿宋" w:hAnsi="仿宋" w:eastAsia="仿宋" w:cs="仿宋"/>
          <w:b/>
          <w:snapToGrid w:val="0"/>
          <w:szCs w:val="28"/>
        </w:rPr>
        <w:t>函</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lang w:eastAsia="zh-CN"/>
        </w:rPr>
      </w:pPr>
      <w:r>
        <w:rPr>
          <w:rFonts w:hint="eastAsia" w:ascii="仿宋" w:hAnsi="仿宋" w:eastAsia="仿宋" w:cs="仿宋"/>
          <w:snapToGrid w:val="0"/>
          <w:color w:val="000000"/>
          <w:sz w:val="28"/>
          <w:szCs w:val="28"/>
        </w:rPr>
        <w:t>根据</w:t>
      </w:r>
      <w:r>
        <w:rPr>
          <w:rFonts w:hint="eastAsia" w:ascii="仿宋" w:hAnsi="仿宋" w:eastAsia="仿宋" w:cs="仿宋"/>
          <w:snapToGrid w:val="0"/>
          <w:color w:val="000000"/>
          <w:sz w:val="28"/>
        </w:rPr>
        <w:t>江苏常熟农村商业银行股份有限公司</w:t>
      </w:r>
      <w:r>
        <w:rPr>
          <w:rFonts w:hint="eastAsia" w:ascii="仿宋" w:hAnsi="仿宋" w:eastAsia="仿宋" w:cs="仿宋"/>
          <w:snapToGrid w:val="0"/>
          <w:color w:val="000000"/>
          <w:sz w:val="28"/>
          <w:szCs w:val="28"/>
        </w:rPr>
        <w:t>业务发展需求，现就</w:t>
      </w:r>
      <w:r>
        <w:rPr>
          <w:rFonts w:hint="eastAsia" w:ascii="仿宋" w:hAnsi="仿宋" w:eastAsia="仿宋" w:cs="仿宋"/>
          <w:snapToGrid w:val="0"/>
          <w:color w:val="000000"/>
          <w:sz w:val="28"/>
          <w:lang w:eastAsia="zh-CN"/>
        </w:rPr>
        <w:t>我行</w:t>
      </w:r>
      <w:r>
        <w:rPr>
          <w:rFonts w:hint="eastAsia" w:ascii="仿宋" w:hAnsi="仿宋" w:eastAsia="仿宋" w:cs="仿宋"/>
          <w:snapToGrid w:val="0"/>
          <w:color w:val="000000"/>
          <w:sz w:val="28"/>
        </w:rPr>
        <w:t>“</w:t>
      </w:r>
      <w:r>
        <w:rPr>
          <w:rFonts w:hint="eastAsia" w:ascii="仿宋" w:hAnsi="仿宋" w:eastAsia="仿宋" w:cs="仿宋"/>
          <w:snapToGrid w:val="0"/>
          <w:color w:val="000000"/>
          <w:sz w:val="28"/>
          <w:szCs w:val="28"/>
          <w:highlight w:val="yellow"/>
          <w:u w:val="single"/>
          <w:lang w:val="en-US" w:eastAsia="zh-CN"/>
        </w:rPr>
        <w:t>全面预算管理系统</w:t>
      </w:r>
      <w:r>
        <w:rPr>
          <w:rFonts w:hint="eastAsia" w:ascii="仿宋" w:hAnsi="仿宋" w:eastAsia="仿宋" w:cs="仿宋"/>
          <w:snapToGrid w:val="0"/>
          <w:color w:val="000000"/>
          <w:sz w:val="28"/>
          <w:szCs w:val="28"/>
          <w:highlight w:val="yellow"/>
          <w:u w:val="single"/>
        </w:rPr>
        <w:t>项目</w:t>
      </w:r>
      <w:r>
        <w:rPr>
          <w:rFonts w:hint="eastAsia" w:ascii="仿宋" w:hAnsi="仿宋" w:eastAsia="仿宋" w:cs="仿宋"/>
          <w:snapToGrid w:val="0"/>
          <w:color w:val="000000"/>
          <w:sz w:val="28"/>
          <w:szCs w:val="28"/>
        </w:rPr>
        <w:t>”进行招标</w:t>
      </w:r>
      <w:r>
        <w:rPr>
          <w:rFonts w:hint="eastAsia" w:ascii="仿宋" w:hAnsi="仿宋" w:eastAsia="仿宋" w:cs="仿宋"/>
          <w:snapToGrid w:val="0"/>
          <w:color w:val="000000"/>
          <w:sz w:val="28"/>
          <w:szCs w:val="28"/>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default" w:ascii="仿宋" w:hAnsi="仿宋" w:eastAsia="仿宋" w:cs="仿宋"/>
          <w:b/>
          <w:bCs/>
          <w:snapToGrid w:val="0"/>
          <w:color w:val="000000"/>
          <w:sz w:val="28"/>
          <w:szCs w:val="28"/>
          <w:lang w:val="en-US" w:eastAsia="zh-CN"/>
        </w:rPr>
      </w:pPr>
      <w:r>
        <w:rPr>
          <w:rFonts w:hint="eastAsia" w:ascii="仿宋" w:hAnsi="仿宋" w:eastAsia="仿宋" w:cs="仿宋"/>
          <w:b/>
          <w:bCs/>
          <w:snapToGrid w:val="0"/>
          <w:color w:val="000000"/>
          <w:sz w:val="28"/>
          <w:szCs w:val="28"/>
          <w:lang w:val="en-US" w:eastAsia="zh-CN"/>
        </w:rPr>
        <w:t>1.招标编号：20210065</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 w:hAnsi="仿宋" w:eastAsia="仿宋" w:cs="仿宋"/>
          <w:snapToGrid w:val="0"/>
          <w:color w:val="000000"/>
          <w:sz w:val="28"/>
          <w:szCs w:val="28"/>
          <w:u w:val="single"/>
        </w:rPr>
      </w:pPr>
      <w:r>
        <w:rPr>
          <w:rFonts w:hint="eastAsia" w:ascii="仿宋" w:hAnsi="仿宋" w:eastAsia="仿宋" w:cs="仿宋"/>
          <w:b/>
          <w:bCs/>
          <w:snapToGrid w:val="0"/>
          <w:color w:val="000000"/>
          <w:sz w:val="28"/>
          <w:szCs w:val="28"/>
          <w:lang w:val="en-US" w:eastAsia="zh-CN"/>
        </w:rPr>
        <w:t>2.</w:t>
      </w:r>
      <w:r>
        <w:rPr>
          <w:rFonts w:hint="eastAsia" w:ascii="仿宋" w:hAnsi="仿宋" w:eastAsia="仿宋" w:cs="仿宋"/>
          <w:b/>
          <w:bCs/>
          <w:snapToGrid w:val="0"/>
          <w:color w:val="000000"/>
          <w:sz w:val="28"/>
          <w:szCs w:val="28"/>
        </w:rPr>
        <w:t>招标人：</w:t>
      </w:r>
      <w:r>
        <w:rPr>
          <w:rFonts w:hint="eastAsia" w:ascii="仿宋" w:hAnsi="仿宋" w:eastAsia="仿宋" w:cs="仿宋"/>
          <w:snapToGrid w:val="0"/>
          <w:color w:val="000000"/>
          <w:sz w:val="28"/>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default" w:ascii="仿宋" w:hAnsi="仿宋" w:eastAsia="仿宋" w:cs="仿宋"/>
          <w:snapToGrid w:val="0"/>
          <w:sz w:val="28"/>
          <w:szCs w:val="28"/>
          <w:lang w:val="en-US" w:eastAsia="zh-CN"/>
        </w:rPr>
      </w:pPr>
      <w:r>
        <w:rPr>
          <w:rFonts w:hint="eastAsia" w:ascii="仿宋" w:hAnsi="仿宋" w:eastAsia="仿宋" w:cs="仿宋"/>
          <w:b/>
          <w:bCs/>
          <w:snapToGrid w:val="0"/>
          <w:sz w:val="28"/>
          <w:szCs w:val="28"/>
          <w:lang w:val="en-US" w:eastAsia="zh-CN"/>
        </w:rPr>
        <w:t>3.</w:t>
      </w:r>
      <w:r>
        <w:rPr>
          <w:rFonts w:hint="eastAsia" w:ascii="仿宋" w:hAnsi="仿宋" w:eastAsia="仿宋" w:cs="仿宋"/>
          <w:b/>
          <w:bCs/>
          <w:snapToGrid w:val="0"/>
          <w:sz w:val="28"/>
          <w:szCs w:val="28"/>
        </w:rPr>
        <w:t>项目实施地点：</w:t>
      </w:r>
      <w:r>
        <w:rPr>
          <w:rFonts w:hint="eastAsia" w:ascii="仿宋" w:hAnsi="仿宋" w:eastAsia="仿宋" w:cs="仿宋"/>
          <w:snapToGrid w:val="0"/>
          <w:sz w:val="28"/>
          <w:szCs w:val="28"/>
          <w:highlight w:val="yellow"/>
          <w:lang w:val="en-US" w:eastAsia="zh-CN"/>
        </w:rPr>
        <w:t xml:space="preserve"> 苏州   </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4.</w:t>
      </w:r>
      <w:r>
        <w:rPr>
          <w:rFonts w:hint="eastAsia" w:ascii="仿宋" w:hAnsi="仿宋" w:eastAsia="仿宋" w:cs="仿宋"/>
          <w:b/>
          <w:bCs/>
          <w:snapToGrid w:val="0"/>
          <w:sz w:val="28"/>
          <w:szCs w:val="28"/>
        </w:rPr>
        <w:t>发放标书时间：</w:t>
      </w:r>
      <w:r>
        <w:rPr>
          <w:rFonts w:hint="eastAsia" w:ascii="仿宋" w:hAnsi="仿宋" w:eastAsia="仿宋" w:cs="仿宋"/>
          <w:snapToGrid w:val="0"/>
          <w:sz w:val="28"/>
          <w:szCs w:val="28"/>
        </w:rPr>
        <w:t xml:space="preserve">北京时间  </w:t>
      </w:r>
      <w:r>
        <w:rPr>
          <w:rFonts w:hint="eastAsia" w:ascii="仿宋" w:hAnsi="仿宋" w:eastAsia="仿宋" w:cs="仿宋"/>
          <w:snapToGrid w:val="0"/>
          <w:sz w:val="28"/>
          <w:szCs w:val="28"/>
          <w:highlight w:val="yellow"/>
          <w:lang w:val="en-US" w:eastAsia="zh-CN"/>
        </w:rPr>
        <w:t xml:space="preserve">2021 </w:t>
      </w:r>
      <w:r>
        <w:rPr>
          <w:rFonts w:hint="eastAsia" w:ascii="仿宋" w:hAnsi="仿宋" w:eastAsia="仿宋" w:cs="仿宋"/>
          <w:snapToGrid w:val="0"/>
          <w:sz w:val="28"/>
          <w:szCs w:val="28"/>
          <w:highlight w:val="yellow"/>
        </w:rPr>
        <w:t xml:space="preserve">年 </w:t>
      </w:r>
      <w:r>
        <w:rPr>
          <w:rFonts w:hint="eastAsia" w:ascii="仿宋" w:hAnsi="仿宋" w:eastAsia="仿宋" w:cs="仿宋"/>
          <w:snapToGrid w:val="0"/>
          <w:sz w:val="28"/>
          <w:szCs w:val="28"/>
          <w:highlight w:val="yellow"/>
          <w:lang w:val="en-US" w:eastAsia="zh-CN"/>
        </w:rPr>
        <w:t xml:space="preserve">11 </w:t>
      </w:r>
      <w:r>
        <w:rPr>
          <w:rFonts w:hint="eastAsia" w:ascii="仿宋" w:hAnsi="仿宋" w:eastAsia="仿宋" w:cs="仿宋"/>
          <w:snapToGrid w:val="0"/>
          <w:sz w:val="28"/>
          <w:szCs w:val="28"/>
          <w:highlight w:val="yellow"/>
        </w:rPr>
        <w:t>月</w:t>
      </w:r>
      <w:r>
        <w:rPr>
          <w:rFonts w:hint="eastAsia" w:ascii="仿宋" w:hAnsi="仿宋" w:eastAsia="仿宋" w:cs="仿宋"/>
          <w:snapToGrid w:val="0"/>
          <w:sz w:val="28"/>
          <w:szCs w:val="28"/>
          <w:highlight w:val="yellow"/>
          <w:lang w:val="en-US" w:eastAsia="zh-CN"/>
        </w:rPr>
        <w:t xml:space="preserve"> 29 </w:t>
      </w:r>
      <w:r>
        <w:rPr>
          <w:rFonts w:hint="eastAsia" w:ascii="仿宋" w:hAnsi="仿宋" w:eastAsia="仿宋" w:cs="仿宋"/>
          <w:snapToGrid w:val="0"/>
          <w:sz w:val="28"/>
          <w:szCs w:val="28"/>
          <w:highlight w:val="yellow"/>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snapToGrid w:val="0"/>
          <w:sz w:val="28"/>
          <w:szCs w:val="28"/>
        </w:rPr>
      </w:pPr>
      <w:r>
        <w:rPr>
          <w:rFonts w:hint="eastAsia" w:ascii="仿宋" w:hAnsi="仿宋" w:eastAsia="仿宋" w:cs="仿宋"/>
          <w:b/>
          <w:bCs/>
          <w:snapToGrid w:val="0"/>
          <w:sz w:val="28"/>
          <w:szCs w:val="28"/>
          <w:lang w:val="en-US" w:eastAsia="zh-CN"/>
        </w:rPr>
        <w:t>5.</w:t>
      </w:r>
      <w:r>
        <w:rPr>
          <w:rFonts w:hint="eastAsia" w:ascii="仿宋" w:hAnsi="仿宋" w:eastAsia="仿宋" w:cs="仿宋"/>
          <w:b/>
          <w:bCs/>
          <w:snapToGrid w:val="0"/>
          <w:sz w:val="28"/>
          <w:szCs w:val="28"/>
        </w:rPr>
        <w:t>投标截止时间：</w:t>
      </w:r>
      <w:r>
        <w:rPr>
          <w:rFonts w:hint="eastAsia" w:ascii="仿宋" w:hAnsi="仿宋" w:eastAsia="仿宋" w:cs="仿宋"/>
          <w:snapToGrid w:val="0"/>
          <w:sz w:val="28"/>
          <w:szCs w:val="28"/>
        </w:rPr>
        <w:t xml:space="preserve">北京时间  </w:t>
      </w:r>
      <w:r>
        <w:rPr>
          <w:rFonts w:hint="eastAsia" w:ascii="仿宋" w:hAnsi="仿宋" w:eastAsia="仿宋" w:cs="仿宋"/>
          <w:snapToGrid w:val="0"/>
          <w:sz w:val="28"/>
          <w:szCs w:val="28"/>
          <w:highlight w:val="yellow"/>
          <w:lang w:val="en-US" w:eastAsia="zh-CN"/>
        </w:rPr>
        <w:t xml:space="preserve">2021 </w:t>
      </w:r>
      <w:r>
        <w:rPr>
          <w:rFonts w:hint="eastAsia" w:ascii="仿宋" w:hAnsi="仿宋" w:eastAsia="仿宋" w:cs="仿宋"/>
          <w:snapToGrid w:val="0"/>
          <w:sz w:val="28"/>
          <w:szCs w:val="28"/>
          <w:highlight w:val="yellow"/>
        </w:rPr>
        <w:t xml:space="preserve">年 </w:t>
      </w:r>
      <w:r>
        <w:rPr>
          <w:rFonts w:hint="eastAsia" w:ascii="仿宋" w:hAnsi="仿宋" w:eastAsia="仿宋" w:cs="仿宋"/>
          <w:snapToGrid w:val="0"/>
          <w:sz w:val="28"/>
          <w:szCs w:val="28"/>
          <w:highlight w:val="yellow"/>
          <w:lang w:val="en-US" w:eastAsia="zh-CN"/>
        </w:rPr>
        <w:t xml:space="preserve">12 </w:t>
      </w:r>
      <w:r>
        <w:rPr>
          <w:rFonts w:hint="eastAsia" w:ascii="仿宋" w:hAnsi="仿宋" w:eastAsia="仿宋" w:cs="仿宋"/>
          <w:snapToGrid w:val="0"/>
          <w:sz w:val="28"/>
          <w:szCs w:val="28"/>
          <w:highlight w:val="yellow"/>
        </w:rPr>
        <w:t>月</w:t>
      </w:r>
      <w:r>
        <w:rPr>
          <w:rFonts w:hint="eastAsia" w:ascii="仿宋" w:hAnsi="仿宋" w:eastAsia="仿宋" w:cs="仿宋"/>
          <w:snapToGrid w:val="0"/>
          <w:sz w:val="28"/>
          <w:szCs w:val="28"/>
          <w:highlight w:val="yellow"/>
          <w:lang w:val="en-US" w:eastAsia="zh-CN"/>
        </w:rPr>
        <w:t xml:space="preserve"> 18 </w:t>
      </w:r>
      <w:r>
        <w:rPr>
          <w:rFonts w:hint="eastAsia" w:ascii="仿宋" w:hAnsi="仿宋" w:eastAsia="仿宋" w:cs="仿宋"/>
          <w:snapToGrid w:val="0"/>
          <w:sz w:val="28"/>
          <w:szCs w:val="28"/>
          <w:highlight w:val="yellow"/>
        </w:rPr>
        <w:t>日</w:t>
      </w:r>
      <w:bookmarkStart w:id="2" w:name="_GoBack"/>
      <w:bookmarkEnd w:id="2"/>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lang w:val="en-US" w:eastAsia="zh-CN"/>
        </w:rPr>
        <w:t>6.</w:t>
      </w:r>
      <w:r>
        <w:rPr>
          <w:rFonts w:hint="eastAsia" w:ascii="仿宋" w:hAnsi="仿宋" w:eastAsia="仿宋" w:cs="仿宋"/>
          <w:b/>
          <w:bCs/>
          <w:snapToGrid w:val="0"/>
          <w:color w:val="000000"/>
          <w:sz w:val="28"/>
          <w:szCs w:val="28"/>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地址：</w:t>
      </w:r>
      <w:r>
        <w:rPr>
          <w:rFonts w:hint="eastAsia" w:ascii="仿宋" w:hAnsi="仿宋" w:eastAsia="仿宋" w:cs="仿宋"/>
          <w:kern w:val="0"/>
          <w:sz w:val="28"/>
          <w:szCs w:val="28"/>
          <w:highlight w:val="yellow"/>
        </w:rPr>
        <w:t>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邮政编码：</w:t>
      </w:r>
      <w:r>
        <w:rPr>
          <w:rFonts w:hint="eastAsia" w:ascii="仿宋" w:hAnsi="仿宋" w:eastAsia="仿宋" w:cs="仿宋"/>
          <w:kern w:val="0"/>
          <w:sz w:val="28"/>
          <w:szCs w:val="28"/>
          <w:highlight w:val="yellow"/>
        </w:rPr>
        <w:t>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 xml:space="preserve">联系人： </w:t>
      </w:r>
      <w:r>
        <w:rPr>
          <w:rFonts w:hint="eastAsia" w:ascii="仿宋" w:hAnsi="仿宋" w:eastAsia="仿宋" w:cs="仿宋"/>
          <w:kern w:val="0"/>
          <w:sz w:val="28"/>
          <w:szCs w:val="28"/>
          <w:highlight w:val="yellow"/>
          <w:lang w:val="en-US" w:eastAsia="zh-CN"/>
        </w:rPr>
        <w:t>沈建彬</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rPr>
        <w:t>电话号码：</w:t>
      </w:r>
      <w:r>
        <w:rPr>
          <w:rFonts w:hint="eastAsia" w:ascii="仿宋" w:hAnsi="仿宋" w:eastAsia="仿宋" w:cs="仿宋"/>
          <w:kern w:val="0"/>
          <w:sz w:val="28"/>
          <w:szCs w:val="28"/>
          <w:highlight w:val="yellow"/>
          <w:lang w:val="en-US" w:eastAsia="zh-CN"/>
        </w:rPr>
        <w:t>18962677520</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yellow"/>
        </w:rPr>
      </w:pPr>
      <w:r>
        <w:rPr>
          <w:rFonts w:hint="eastAsia" w:ascii="仿宋" w:hAnsi="仿宋" w:eastAsia="仿宋" w:cs="仿宋"/>
          <w:kern w:val="0"/>
          <w:sz w:val="28"/>
          <w:szCs w:val="28"/>
          <w:lang w:eastAsia="zh-CN"/>
        </w:rPr>
        <w:t>标书接收</w:t>
      </w:r>
      <w:r>
        <w:rPr>
          <w:rFonts w:hint="eastAsia" w:ascii="仿宋" w:hAnsi="仿宋" w:eastAsia="仿宋" w:cs="仿宋"/>
          <w:kern w:val="0"/>
          <w:sz w:val="28"/>
          <w:szCs w:val="28"/>
        </w:rPr>
        <w:t>：</w:t>
      </w:r>
      <w:r>
        <w:rPr>
          <w:rFonts w:hint="eastAsia" w:ascii="仿宋" w:hAnsi="仿宋" w:eastAsia="仿宋" w:cs="仿宋"/>
          <w:kern w:val="0"/>
          <w:sz w:val="28"/>
          <w:szCs w:val="28"/>
          <w:highlight w:val="yellow"/>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 w:hAnsi="仿宋" w:eastAsia="仿宋" w:cs="仿宋"/>
          <w:kern w:val="0"/>
          <w:sz w:val="28"/>
          <w:szCs w:val="28"/>
          <w:highlight w:val="yellow"/>
        </w:rPr>
      </w:pPr>
      <w:r>
        <w:rPr>
          <w:rFonts w:hint="eastAsia" w:ascii="仿宋" w:hAnsi="仿宋" w:eastAsia="仿宋" w:cs="仿宋"/>
          <w:kern w:val="0"/>
          <w:sz w:val="28"/>
          <w:szCs w:val="28"/>
        </w:rPr>
        <w:t>电话号码：</w:t>
      </w:r>
      <w:r>
        <w:rPr>
          <w:rFonts w:hint="eastAsia" w:ascii="仿宋" w:hAnsi="仿宋" w:eastAsia="仿宋" w:cs="仿宋"/>
          <w:kern w:val="0"/>
          <w:sz w:val="28"/>
          <w:szCs w:val="28"/>
          <w:highlight w:val="yellow"/>
        </w:rPr>
        <w:t>0512-52739210</w:t>
      </w: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p>
    <w:p>
      <w:pPr>
        <w:numPr>
          <w:ilvl w:val="0"/>
          <w:numId w:val="0"/>
        </w:numPr>
        <w:autoSpaceDE w:val="0"/>
        <w:autoSpaceDN w:val="0"/>
        <w:adjustRightInd w:val="0"/>
        <w:jc w:val="left"/>
        <w:rPr>
          <w:rFonts w:hint="eastAsia" w:ascii="仿宋" w:hAnsi="仿宋" w:eastAsia="仿宋" w:cs="仿宋"/>
          <w:i w:val="0"/>
          <w:iCs w:val="0"/>
          <w:snapToGrid w:val="0"/>
          <w:sz w:val="24"/>
          <w:szCs w:val="24"/>
          <w:highlight w:val="none"/>
          <w:lang w:eastAsia="zh-CN"/>
        </w:rPr>
      </w:pPr>
      <w:r>
        <w:rPr>
          <w:rFonts w:hint="eastAsia" w:ascii="仿宋" w:hAnsi="仿宋" w:eastAsia="仿宋" w:cs="仿宋"/>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val="en-US" w:eastAsia="zh-CN"/>
        </w:rPr>
      </w:pPr>
      <w:r>
        <w:rPr>
          <w:rFonts w:hint="eastAsia" w:ascii="仿宋" w:hAnsi="仿宋" w:eastAsia="仿宋" w:cs="仿宋"/>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r>
        <w:rPr>
          <w:rFonts w:hint="eastAsia" w:ascii="仿宋" w:hAnsi="仿宋" w:eastAsia="仿宋" w:cs="仿宋"/>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 w:hAnsi="仿宋" w:eastAsia="仿宋" w:cs="仿宋"/>
          <w:i w:val="0"/>
          <w:iCs w:val="0"/>
          <w:snapToGrid w:val="0"/>
          <w:color w:val="000000"/>
          <w:sz w:val="24"/>
          <w:szCs w:val="24"/>
          <w:highlight w:val="none"/>
          <w:lang w:eastAsia="zh-CN"/>
        </w:rPr>
      </w:pPr>
    </w:p>
    <w:p>
      <w:pPr>
        <w:pStyle w:val="2"/>
        <w:spacing w:after="240"/>
        <w:jc w:val="right"/>
        <w:rPr>
          <w:rFonts w:hint="eastAsia" w:ascii="仿宋" w:hAnsi="仿宋" w:eastAsia="仿宋" w:cs="仿宋"/>
          <w:snapToGrid w:val="0"/>
          <w:color w:val="000000"/>
          <w:sz w:val="28"/>
        </w:rPr>
      </w:pPr>
    </w:p>
    <w:p>
      <w:pPr>
        <w:pStyle w:val="2"/>
        <w:spacing w:after="240"/>
        <w:jc w:val="right"/>
        <w:rPr>
          <w:rFonts w:hint="eastAsia" w:ascii="仿宋" w:hAnsi="仿宋" w:eastAsia="仿宋" w:cs="仿宋"/>
          <w:snapToGrid w:val="0"/>
          <w:color w:val="000000"/>
          <w:sz w:val="28"/>
        </w:rPr>
      </w:pPr>
      <w:r>
        <w:rPr>
          <w:rFonts w:hint="eastAsia" w:ascii="仿宋" w:hAnsi="仿宋" w:eastAsia="仿宋" w:cs="仿宋"/>
          <w:snapToGrid w:val="0"/>
          <w:color w:val="000000"/>
          <w:sz w:val="28"/>
        </w:rPr>
        <w:t>江苏常熟农村商业银行股份有限公司</w:t>
      </w:r>
    </w:p>
    <w:p>
      <w:pPr>
        <w:pStyle w:val="2"/>
        <w:spacing w:after="240"/>
        <w:jc w:val="center"/>
        <w:rPr>
          <w:rFonts w:hint="eastAsia" w:ascii="仿宋" w:hAnsi="仿宋" w:eastAsia="仿宋" w:cs="仿宋"/>
          <w:b/>
          <w:snapToGrid w:val="0"/>
          <w:szCs w:val="28"/>
        </w:rPr>
      </w:pPr>
      <w:r>
        <w:rPr>
          <w:rFonts w:hint="eastAsia" w:ascii="宋体" w:hAnsi="宋体" w:eastAsia="宋体"/>
          <w:snapToGrid w:val="0"/>
          <w:color w:val="000000"/>
        </w:rPr>
        <w:br w:type="page"/>
      </w:r>
      <w:r>
        <w:rPr>
          <w:rFonts w:hint="eastAsia" w:ascii="仿宋" w:hAnsi="仿宋" w:eastAsia="仿宋" w:cs="仿宋"/>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适用范围</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本招标文件仅适用于江苏常熟农村商业银行股份有限公司（以下简称“常熟农商银行”）“</w:t>
      </w:r>
      <w:r>
        <w:rPr>
          <w:rFonts w:hint="eastAsia" w:ascii="仿宋" w:hAnsi="仿宋" w:eastAsia="仿宋" w:cs="仿宋"/>
          <w:snapToGrid w:val="0"/>
          <w:color w:val="000000"/>
          <w:sz w:val="28"/>
          <w:szCs w:val="28"/>
          <w:highlight w:val="yellow"/>
          <w:u w:val="single"/>
          <w:lang w:val="en-US" w:eastAsia="zh-CN"/>
        </w:rPr>
        <w:t>全面预算管理系统</w:t>
      </w:r>
      <w:r>
        <w:rPr>
          <w:rFonts w:hint="eastAsia" w:ascii="仿宋" w:hAnsi="仿宋" w:eastAsia="仿宋" w:cs="仿宋"/>
          <w:snapToGrid w:val="0"/>
          <w:color w:val="000000"/>
          <w:sz w:val="28"/>
          <w:szCs w:val="28"/>
          <w:highlight w:val="yellow"/>
          <w:u w:val="single"/>
        </w:rPr>
        <w:t>项目</w:t>
      </w:r>
      <w:r>
        <w:rPr>
          <w:rFonts w:hint="eastAsia" w:ascii="仿宋" w:hAnsi="仿宋" w:eastAsia="仿宋" w:cs="仿宋"/>
          <w:snapToGrid w:val="0"/>
          <w:color w:val="000000"/>
          <w:sz w:val="28"/>
          <w:szCs w:val="28"/>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投标人必须为具有独立企业法人资格，具有合法名称、组织机构、固定的办公场所，注册资本要求不少于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1000</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万元人民币（或等值外币），注册时间不少于</w:t>
      </w:r>
      <w:r>
        <w:rPr>
          <w:rFonts w:hint="eastAsia" w:ascii="仿宋" w:hAnsi="仿宋" w:eastAsia="仿宋" w:cs="仿宋"/>
          <w:snapToGrid w:val="0"/>
          <w:color w:val="000000"/>
          <w:sz w:val="28"/>
          <w:szCs w:val="28"/>
          <w:highlight w:val="yellow"/>
          <w:u w:val="single"/>
        </w:rPr>
        <w:t xml:space="preserve"> 3 </w:t>
      </w:r>
      <w:r>
        <w:rPr>
          <w:rFonts w:hint="eastAsia" w:ascii="仿宋" w:hAnsi="仿宋" w:eastAsia="仿宋" w:cs="仿宋"/>
          <w:snapToGrid w:val="0"/>
          <w:color w:val="000000"/>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投标人近3年来签署过类似合同、承担过类似项目及成功案例，案例数不少于</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highlight w:val="yellow"/>
          <w:u w:val="single"/>
        </w:rPr>
        <w:t>3</w:t>
      </w:r>
      <w:r>
        <w:rPr>
          <w:rFonts w:hint="eastAsia" w:ascii="仿宋" w:hAnsi="仿宋" w:eastAsia="仿宋" w:cs="仿宋"/>
          <w:snapToGrid w:val="0"/>
          <w:color w:val="000000"/>
          <w:sz w:val="28"/>
          <w:szCs w:val="28"/>
          <w:highlight w:val="yellow"/>
          <w:u w:val="single"/>
          <w:lang w:val="en-US" w:eastAsia="zh-CN"/>
        </w:rPr>
        <w:t xml:space="preserve"> </w:t>
      </w:r>
      <w:r>
        <w:rPr>
          <w:rFonts w:hint="eastAsia" w:ascii="仿宋" w:hAnsi="仿宋" w:eastAsia="仿宋" w:cs="仿宋"/>
          <w:snapToGrid w:val="0"/>
          <w:color w:val="000000"/>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default"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b/>
          <w:bCs/>
          <w:snapToGrid w:val="0"/>
          <w:color w:val="000000"/>
          <w:sz w:val="28"/>
          <w:szCs w:val="28"/>
        </w:rPr>
        <w:t>必须按照本招标文件要求制作</w:t>
      </w:r>
      <w:r>
        <w:rPr>
          <w:rFonts w:hint="eastAsia" w:ascii="仿宋" w:hAnsi="仿宋" w:eastAsia="仿宋" w:cs="仿宋"/>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1</w:t>
      </w:r>
      <w:r>
        <w:rPr>
          <w:rFonts w:hint="eastAsia" w:ascii="仿宋" w:hAnsi="仿宋" w:eastAsia="仿宋" w:cs="仿宋"/>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rPr>
      </w:pPr>
      <w:r>
        <w:rPr>
          <w:rFonts w:hint="eastAsia" w:ascii="仿宋" w:hAnsi="仿宋" w:eastAsia="仿宋" w:cs="仿宋"/>
          <w:snapToGrid w:val="0"/>
          <w:sz w:val="24"/>
          <w:szCs w:val="24"/>
          <w:lang w:eastAsia="zh-CN"/>
        </w:rPr>
        <w:t>说明：</w:t>
      </w:r>
      <w:r>
        <w:rPr>
          <w:rFonts w:hint="eastAsia" w:ascii="仿宋" w:hAnsi="仿宋" w:eastAsia="仿宋" w:cs="仿宋"/>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2：</w:t>
      </w:r>
      <w:r>
        <w:rPr>
          <w:rFonts w:hint="eastAsia" w:ascii="仿宋" w:hAnsi="仿宋" w:eastAsia="仿宋" w:cs="仿宋"/>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3：</w:t>
      </w:r>
      <w:r>
        <w:rPr>
          <w:rFonts w:hint="eastAsia" w:ascii="仿宋" w:hAnsi="仿宋" w:eastAsia="仿宋" w:cs="仿宋"/>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lang w:eastAsia="zh-CN"/>
        </w:rPr>
      </w:pPr>
      <w:r>
        <w:rPr>
          <w:rFonts w:hint="eastAsia" w:ascii="仿宋" w:hAnsi="仿宋" w:eastAsia="仿宋" w:cs="仿宋"/>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4：</w:t>
      </w:r>
      <w:r>
        <w:rPr>
          <w:rFonts w:hint="eastAsia" w:ascii="仿宋" w:hAnsi="仿宋" w:eastAsia="仿宋" w:cs="仿宋"/>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yellow"/>
          <w:lang w:eastAsia="zh-CN"/>
        </w:rPr>
      </w:pPr>
      <w:r>
        <w:rPr>
          <w:rFonts w:hint="eastAsia" w:ascii="仿宋" w:hAnsi="仿宋" w:eastAsia="仿宋" w:cs="仿宋"/>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eastAsia="zh-CN"/>
        </w:rPr>
        <w:t>附件</w:t>
      </w:r>
      <w:r>
        <w:rPr>
          <w:rFonts w:hint="eastAsia" w:ascii="仿宋" w:hAnsi="仿宋" w:eastAsia="仿宋" w:cs="仿宋"/>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说明：投标方必须提供实际参与项目实施的成员列表及其</w:t>
      </w:r>
      <w:r>
        <w:rPr>
          <w:rFonts w:hint="eastAsia" w:ascii="仿宋" w:hAnsi="仿宋" w:eastAsia="仿宋" w:cs="仿宋"/>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b/>
          <w:bCs/>
          <w:snapToGrid w:val="0"/>
          <w:sz w:val="24"/>
          <w:szCs w:val="24"/>
          <w:highlight w:val="none"/>
          <w:lang w:val="en-US" w:eastAsia="zh-CN"/>
        </w:rPr>
      </w:pPr>
      <w:r>
        <w:rPr>
          <w:rFonts w:hint="eastAsia" w:ascii="仿宋" w:hAnsi="仿宋" w:eastAsia="仿宋" w:cs="仿宋"/>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 w:hAnsi="仿宋" w:eastAsia="仿宋" w:cs="仿宋"/>
          <w:snapToGrid w:val="0"/>
          <w:sz w:val="24"/>
          <w:szCs w:val="24"/>
          <w:highlight w:val="none"/>
          <w:lang w:val="en-US" w:eastAsia="zh-CN"/>
        </w:rPr>
      </w:pPr>
      <w:r>
        <w:rPr>
          <w:rFonts w:hint="eastAsia" w:ascii="仿宋" w:hAnsi="仿宋" w:eastAsia="仿宋" w:cs="仿宋"/>
          <w:snapToGrid w:val="0"/>
          <w:sz w:val="24"/>
          <w:szCs w:val="24"/>
          <w:highlight w:val="none"/>
          <w:lang w:val="en-US" w:eastAsia="zh-CN"/>
        </w:rPr>
        <w:t>说明：</w:t>
      </w:r>
      <w:r>
        <w:rPr>
          <w:rFonts w:hint="eastAsia" w:ascii="仿宋" w:hAnsi="仿宋" w:eastAsia="仿宋" w:cs="仿宋"/>
          <w:snapToGrid w:val="0"/>
          <w:sz w:val="24"/>
          <w:szCs w:val="24"/>
          <w:lang w:eastAsia="zh-CN"/>
        </w:rPr>
        <w:t>投标人提供营业执照复印件等相关资质证明文件并</w:t>
      </w:r>
      <w:r>
        <w:rPr>
          <w:rFonts w:hint="eastAsia" w:ascii="仿宋" w:hAnsi="仿宋" w:eastAsia="仿宋" w:cs="仿宋"/>
          <w:snapToGrid w:val="0"/>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rPr>
      </w:pPr>
      <w:r>
        <w:rPr>
          <w:rFonts w:hint="eastAsia" w:ascii="仿宋_GB2312" w:hAnsi="仿宋_GB2312" w:eastAsia="仿宋_GB2312" w:cs="仿宋_GB2312"/>
          <w:snapToGrid w:val="0"/>
          <w:color w:val="FF0000"/>
          <w:sz w:val="28"/>
          <w:szCs w:val="28"/>
        </w:rPr>
        <w:t>人民币</w:t>
      </w:r>
      <w:r>
        <w:rPr>
          <w:rFonts w:hint="eastAsia" w:ascii="仿宋_GB2312" w:hAnsi="仿宋_GB2312" w:eastAsia="仿宋_GB2312" w:cs="仿宋_GB2312"/>
          <w:snapToGrid w:val="0"/>
          <w:color w:val="FF0000"/>
          <w:sz w:val="28"/>
          <w:szCs w:val="28"/>
          <w:u w:val="single"/>
          <w:lang w:val="en-US" w:eastAsia="zh-CN"/>
        </w:rPr>
        <w:t>叁万捌仟</w:t>
      </w:r>
      <w:r>
        <w:rPr>
          <w:rFonts w:hint="eastAsia" w:ascii="仿宋_GB2312" w:hAnsi="仿宋_GB2312" w:eastAsia="仿宋_GB2312" w:cs="仿宋_GB2312"/>
          <w:snapToGrid w:val="0"/>
          <w:color w:val="FF0000"/>
          <w:sz w:val="28"/>
          <w:szCs w:val="28"/>
          <w:u w:val="single"/>
        </w:rPr>
        <w:t>元</w:t>
      </w:r>
      <w:r>
        <w:rPr>
          <w:rFonts w:hint="eastAsia" w:ascii="仿宋_GB2312" w:hAnsi="仿宋_GB2312" w:eastAsia="仿宋_GB2312" w:cs="仿宋_GB2312"/>
          <w:snapToGrid w:val="0"/>
          <w:color w:val="FF0000"/>
          <w:sz w:val="28"/>
          <w:szCs w:val="28"/>
          <w:u w:val="single"/>
          <w:lang w:val="en-US" w:eastAsia="zh-CN"/>
        </w:rPr>
        <w:t>整</w:t>
      </w:r>
      <w:r>
        <w:rPr>
          <w:rFonts w:hint="eastAsia" w:ascii="仿宋_GB2312" w:hAnsi="仿宋_GB2312" w:eastAsia="仿宋_GB2312" w:cs="仿宋_GB2312"/>
          <w:snapToGrid w:val="0"/>
          <w:color w:val="FF0000"/>
          <w:sz w:val="28"/>
          <w:szCs w:val="28"/>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default" w:ascii="仿宋_GB2312" w:hAnsi="仿宋_GB2312" w:eastAsia="仿宋_GB2312" w:cs="仿宋_GB2312"/>
          <w:snapToGrid w:val="0"/>
          <w:color w:val="000000"/>
          <w:sz w:val="28"/>
          <w:szCs w:val="28"/>
          <w:lang w:val="en-US" w:eastAsia="zh-CN"/>
        </w:rPr>
      </w:pPr>
      <w:r>
        <w:rPr>
          <w:rFonts w:hint="default" w:ascii="仿宋_GB2312" w:hAnsi="仿宋_GB2312" w:eastAsia="仿宋_GB2312" w:cs="仿宋_GB2312"/>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7.</w:t>
      </w:r>
      <w:r>
        <w:rPr>
          <w:rFonts w:hint="default" w:ascii="仿宋_GB2312" w:hAnsi="仿宋_GB2312" w:eastAsia="仿宋_GB2312" w:cs="仿宋_GB2312"/>
          <w:snapToGrid w:val="0"/>
          <w:color w:val="000000"/>
          <w:sz w:val="28"/>
          <w:szCs w:val="28"/>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default"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8.中标人收到中标通知书，并提交履约保证金后，</w:t>
      </w:r>
      <w:r>
        <w:rPr>
          <w:rFonts w:hint="default" w:ascii="仿宋_GB2312" w:hAnsi="仿宋_GB2312" w:eastAsia="仿宋_GB2312" w:cs="仿宋_GB2312"/>
          <w:snapToGrid w:val="0"/>
          <w:color w:val="000000"/>
          <w:sz w:val="28"/>
          <w:szCs w:val="28"/>
          <w:lang w:val="en-US" w:eastAsia="zh-CN"/>
        </w:rPr>
        <w:t>可办理投标保证金的无息退还</w:t>
      </w:r>
      <w:r>
        <w:rPr>
          <w:rFonts w:hint="eastAsia" w:ascii="仿宋_GB2312" w:hAnsi="仿宋_GB2312" w:eastAsia="仿宋_GB2312" w:cs="仿宋_GB2312"/>
          <w:snapToGrid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200" w:right="0" w:rightChars="0"/>
        <w:jc w:val="left"/>
        <w:textAlignment w:val="auto"/>
        <w:outlineLvl w:val="1"/>
        <w:rPr>
          <w:rFonts w:hint="eastAsia" w:ascii="仿宋" w:hAnsi="仿宋" w:eastAsia="仿宋" w:cs="仿宋"/>
          <w:b/>
          <w:bCs/>
          <w:snapToGrid w:val="0"/>
          <w:color w:val="000000"/>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highlight w:val="none"/>
        </w:rPr>
        <w:t>所有投标人均应派代表到场参加开标，</w:t>
      </w:r>
      <w:r>
        <w:rPr>
          <w:rFonts w:hint="eastAsia" w:ascii="仿宋" w:hAnsi="仿宋" w:eastAsia="仿宋" w:cs="仿宋"/>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开标过程由投标人进行时间不超过30分钟的讲标，必须由此项目的实施</w:t>
      </w:r>
      <w:r>
        <w:rPr>
          <w:rFonts w:hint="eastAsia" w:ascii="仿宋" w:hAnsi="仿宋" w:eastAsia="仿宋" w:cs="仿宋"/>
          <w:snapToGrid w:val="0"/>
          <w:color w:val="000000"/>
          <w:sz w:val="28"/>
          <w:szCs w:val="28"/>
          <w:highlight w:val="none"/>
        </w:rPr>
        <w:t>项目经理讲标</w:t>
      </w:r>
      <w:r>
        <w:rPr>
          <w:rFonts w:hint="eastAsia" w:ascii="仿宋" w:hAnsi="仿宋" w:eastAsia="仿宋" w:cs="仿宋"/>
          <w:snapToGrid w:val="0"/>
          <w:color w:val="000000"/>
          <w:sz w:val="28"/>
          <w:szCs w:val="28"/>
          <w:highlight w:val="none"/>
          <w:lang w:eastAsia="zh-CN"/>
        </w:rPr>
        <w:t>，不得随意变更</w:t>
      </w:r>
      <w:r>
        <w:rPr>
          <w:rFonts w:hint="eastAsia" w:ascii="仿宋" w:hAnsi="仿宋" w:eastAsia="仿宋" w:cs="仿宋"/>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招标人根据</w:t>
      </w:r>
      <w:r>
        <w:rPr>
          <w:rFonts w:hint="eastAsia" w:ascii="仿宋" w:hAnsi="仿宋" w:eastAsia="仿宋" w:cs="仿宋"/>
          <w:snapToGrid w:val="0"/>
          <w:color w:val="000000"/>
          <w:sz w:val="28"/>
          <w:szCs w:val="28"/>
          <w:lang w:eastAsia="zh-CN"/>
        </w:rPr>
        <w:t>包括但不限于以下</w:t>
      </w:r>
      <w:r>
        <w:rPr>
          <w:rFonts w:hint="eastAsia" w:ascii="仿宋" w:hAnsi="仿宋" w:eastAsia="仿宋" w:cs="仿宋"/>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投标人技术实力（项目经理及项目成员、售后服务能力及项目人员配置</w:t>
      </w:r>
      <w:r>
        <w:rPr>
          <w:rFonts w:hint="eastAsia" w:ascii="仿宋" w:hAnsi="仿宋" w:eastAsia="仿宋" w:cs="仿宋"/>
          <w:snapToGrid w:val="0"/>
          <w:color w:val="000000"/>
          <w:sz w:val="28"/>
          <w:szCs w:val="28"/>
          <w:lang w:eastAsia="zh-CN"/>
        </w:rPr>
        <w:t>、</w:t>
      </w:r>
      <w:r>
        <w:rPr>
          <w:rFonts w:hint="eastAsia" w:ascii="仿宋" w:hAnsi="仿宋" w:eastAsia="仿宋" w:cs="仿宋"/>
          <w:snapToGrid w:val="0"/>
          <w:color w:val="000000"/>
          <w:sz w:val="28"/>
          <w:szCs w:val="28"/>
          <w:lang w:val="en-US" w:eastAsia="zh-CN"/>
        </w:rPr>
        <w:t>POC情况等</w:t>
      </w:r>
      <w:r>
        <w:rPr>
          <w:rFonts w:hint="eastAsia" w:ascii="仿宋" w:hAnsi="仿宋" w:eastAsia="仿宋" w:cs="仿宋"/>
          <w:snapToGrid w:val="0"/>
          <w:color w:val="000000"/>
          <w:sz w:val="28"/>
          <w:szCs w:val="28"/>
        </w:rPr>
        <w:t>）</w:t>
      </w:r>
      <w:r>
        <w:rPr>
          <w:rFonts w:hint="eastAsia" w:ascii="仿宋" w:hAnsi="仿宋" w:eastAsia="仿宋" w:cs="仿宋"/>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开标后，招标人将组织审查投标文件是否完整，是否有计算错误，文件签署</w:t>
      </w:r>
      <w:r>
        <w:rPr>
          <w:rFonts w:hint="eastAsia" w:ascii="仿宋" w:hAnsi="仿宋" w:eastAsia="仿宋" w:cs="仿宋"/>
          <w:snapToGrid w:val="0"/>
          <w:color w:val="000000"/>
          <w:sz w:val="28"/>
          <w:szCs w:val="28"/>
          <w:lang w:eastAsia="zh-CN"/>
        </w:rPr>
        <w:t>是否符合要求</w:t>
      </w:r>
      <w:r>
        <w:rPr>
          <w:rFonts w:hint="eastAsia" w:ascii="仿宋" w:hAnsi="仿宋" w:eastAsia="仿宋" w:cs="仿宋"/>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 w:hAnsi="仿宋" w:eastAsia="仿宋" w:cs="仿宋"/>
          <w:b/>
          <w:bCs/>
          <w:snapToGrid w:val="0"/>
          <w:color w:val="000000"/>
          <w:sz w:val="28"/>
          <w:szCs w:val="28"/>
        </w:rPr>
      </w:pPr>
      <w:r>
        <w:rPr>
          <w:rFonts w:hint="eastAsia" w:ascii="仿宋" w:hAnsi="仿宋" w:eastAsia="仿宋" w:cs="仿宋"/>
          <w:b/>
          <w:bCs/>
          <w:snapToGrid w:val="0"/>
          <w:color w:val="000000"/>
          <w:sz w:val="28"/>
          <w:szCs w:val="28"/>
        </w:rPr>
        <w:t>中标</w:t>
      </w:r>
      <w:r>
        <w:rPr>
          <w:rFonts w:hint="eastAsia" w:ascii="仿宋" w:hAnsi="仿宋" w:eastAsia="仿宋" w:cs="仿宋"/>
          <w:b/>
          <w:bCs/>
          <w:snapToGrid w:val="0"/>
          <w:color w:val="000000"/>
          <w:sz w:val="28"/>
          <w:szCs w:val="28"/>
          <w:lang w:eastAsia="zh-CN"/>
        </w:rPr>
        <w:t>、</w:t>
      </w:r>
      <w:r>
        <w:rPr>
          <w:rFonts w:hint="eastAsia" w:ascii="仿宋" w:hAnsi="仿宋" w:eastAsia="仿宋" w:cs="仿宋"/>
          <w:b/>
          <w:bCs/>
          <w:snapToGrid w:val="0"/>
          <w:color w:val="000000"/>
          <w:sz w:val="28"/>
          <w:szCs w:val="28"/>
          <w:lang w:val="en-US" w:eastAsia="zh-CN"/>
        </w:rPr>
        <w:t>履约保证金</w:t>
      </w:r>
      <w:r>
        <w:rPr>
          <w:rFonts w:hint="eastAsia" w:ascii="仿宋" w:hAnsi="仿宋" w:eastAsia="仿宋" w:cs="仿宋"/>
          <w:b/>
          <w:bCs/>
          <w:snapToGrid w:val="0"/>
          <w:color w:val="000000"/>
          <w:sz w:val="28"/>
          <w:szCs w:val="28"/>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（一）定标原则</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w:t>
      </w:r>
      <w:r>
        <w:rPr>
          <w:rFonts w:hint="eastAsia" w:ascii="仿宋_GB2312" w:hAnsi="仿宋_GB2312" w:eastAsia="仿宋_GB2312" w:cs="仿宋_GB2312"/>
          <w:color w:val="000000"/>
          <w:sz w:val="28"/>
          <w:szCs w:val="28"/>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（二）中标通知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yellow"/>
        </w:rPr>
      </w:pPr>
      <w:r>
        <w:rPr>
          <w:rFonts w:hint="eastAsia" w:ascii="仿宋_GB2312" w:hAnsi="仿宋_GB2312" w:eastAsia="仿宋_GB2312" w:cs="仿宋_GB2312"/>
          <w:snapToGrid w:val="0"/>
          <w:color w:val="000000"/>
          <w:sz w:val="28"/>
          <w:szCs w:val="28"/>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（三）</w:t>
      </w:r>
      <w:r>
        <w:rPr>
          <w:rFonts w:hint="eastAsia" w:ascii="仿宋_GB2312" w:hAnsi="仿宋_GB2312" w:eastAsia="仿宋_GB2312" w:cs="仿宋_GB2312"/>
          <w:b w:val="0"/>
          <w:color w:val="000000"/>
          <w:sz w:val="28"/>
          <w:szCs w:val="28"/>
          <w:lang w:val="en-US" w:eastAsia="zh-CN"/>
        </w:rPr>
        <w:t>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3.履约保证金</w:t>
      </w:r>
      <w:r>
        <w:rPr>
          <w:rFonts w:hint="eastAsia" w:ascii="仿宋_GB2312" w:hAnsi="仿宋_GB2312" w:eastAsia="仿宋_GB2312" w:cs="仿宋_GB2312"/>
          <w:snapToGrid w:val="0"/>
          <w:color w:val="000000"/>
          <w:sz w:val="28"/>
          <w:szCs w:val="28"/>
          <w:lang w:val="en-US" w:eastAsia="zh-CN"/>
        </w:rPr>
        <w:t>在</w:t>
      </w:r>
      <w:r>
        <w:rPr>
          <w:rFonts w:hint="eastAsia" w:ascii="仿宋_GB2312" w:hAnsi="仿宋_GB2312" w:eastAsia="仿宋_GB2312" w:cs="仿宋_GB2312"/>
          <w:snapToGrid w:val="0"/>
          <w:color w:val="000000"/>
          <w:sz w:val="28"/>
          <w:szCs w:val="28"/>
        </w:rPr>
        <w:t>使用电汇、网上银行转帐的形式提交</w:t>
      </w:r>
      <w:r>
        <w:rPr>
          <w:rFonts w:hint="eastAsia" w:ascii="仿宋_GB2312" w:hAnsi="仿宋_GB2312" w:eastAsia="仿宋_GB2312" w:cs="仿宋_GB2312"/>
          <w:snapToGrid w:val="0"/>
          <w:color w:val="000000"/>
          <w:sz w:val="28"/>
          <w:szCs w:val="28"/>
          <w:lang w:val="en-US" w:eastAsia="zh-CN"/>
        </w:rPr>
        <w:t>时应</w:t>
      </w:r>
      <w:r>
        <w:rPr>
          <w:rFonts w:hint="eastAsia" w:ascii="仿宋_GB2312" w:hAnsi="仿宋_GB2312" w:eastAsia="仿宋_GB2312" w:cs="仿宋_GB2312"/>
          <w:snapToGrid w:val="0"/>
          <w:color w:val="000000"/>
          <w:sz w:val="28"/>
          <w:szCs w:val="28"/>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账号：101290001022913940</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w:t>
      </w:r>
      <w:r>
        <w:rPr>
          <w:rFonts w:hint="eastAsia" w:ascii="仿宋_GB2312" w:hAnsi="仿宋_GB2312" w:eastAsia="仿宋_GB2312" w:cs="仿宋_GB2312"/>
          <w:b w:val="0"/>
          <w:snapToGrid w:val="0"/>
          <w:color w:val="000000"/>
          <w:sz w:val="28"/>
          <w:szCs w:val="28"/>
          <w:lang w:val="en-US" w:eastAsia="zh-CN"/>
        </w:rPr>
        <w:t>四</w:t>
      </w:r>
      <w:r>
        <w:rPr>
          <w:rFonts w:hint="eastAsia" w:ascii="仿宋_GB2312" w:hAnsi="仿宋_GB2312" w:eastAsia="仿宋_GB2312" w:cs="仿宋_GB2312"/>
          <w:b w:val="0"/>
          <w:snapToGrid w:val="0"/>
          <w:color w:val="000000"/>
          <w:sz w:val="28"/>
          <w:szCs w:val="28"/>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招标文件、中标方的投标文件及其澄清文件等，均为签订合同的依据。</w:t>
      </w: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tabs>
          <w:tab w:val="left" w:pos="425"/>
        </w:tabs>
        <w:adjustRightInd w:val="0"/>
        <w:rPr>
          <w:rFonts w:ascii="宋体" w:hAnsi="宋体"/>
          <w:snapToGrid w:val="0"/>
          <w:color w:val="000000"/>
          <w:sz w:val="28"/>
          <w:szCs w:val="28"/>
        </w:rPr>
      </w:pPr>
    </w:p>
    <w:p>
      <w:pPr>
        <w:pStyle w:val="2"/>
        <w:spacing w:after="240"/>
        <w:jc w:val="center"/>
        <w:rPr>
          <w:rFonts w:ascii="宋体" w:hAnsi="宋体"/>
          <w:b/>
          <w:sz w:val="28"/>
          <w:szCs w:val="28"/>
        </w:rPr>
      </w:pPr>
      <w:r>
        <w:rPr>
          <w:rFonts w:hint="eastAsia" w:ascii="宋体" w:hAnsi="宋体" w:eastAsia="宋体"/>
          <w:b/>
          <w:snapToGrid w:val="0"/>
          <w:szCs w:val="28"/>
        </w:rPr>
        <w:t xml:space="preserve">第三部分  </w:t>
      </w:r>
      <w:r>
        <w:rPr>
          <w:rFonts w:ascii="Times New Roman"/>
          <w:b/>
          <w:snapToGrid w:val="0"/>
          <w:szCs w:val="28"/>
        </w:rPr>
        <w:t>投标文件格式</w:t>
      </w:r>
    </w:p>
    <w:p>
      <w:pPr>
        <w:pStyle w:val="3"/>
        <w:spacing w:after="0" w:line="240" w:lineRule="auto"/>
        <w:jc w:val="left"/>
        <w:rPr>
          <w:rFonts w:hint="eastAsia" w:ascii="仿宋" w:hAnsi="仿宋" w:eastAsia="仿宋" w:cs="仿宋"/>
          <w:b w:val="0"/>
          <w:snapToGrid w:val="0"/>
          <w:sz w:val="28"/>
          <w:szCs w:val="28"/>
          <w:shd w:val="pct10" w:color="auto" w:fill="FFFFFF"/>
        </w:rPr>
      </w:pPr>
      <w:bookmarkStart w:id="1" w:name="_附件1：《投标书》"/>
      <w:bookmarkEnd w:id="1"/>
      <w:r>
        <w:rPr>
          <w:rFonts w:hint="eastAsia" w:ascii="仿宋" w:hAnsi="仿宋" w:eastAsia="仿宋" w:cs="仿宋"/>
          <w:b w:val="0"/>
          <w:snapToGrid w:val="0"/>
          <w:color w:val="000000"/>
          <w:sz w:val="28"/>
          <w:szCs w:val="28"/>
        </w:rPr>
        <w:t>附件1：投标书</w:t>
      </w:r>
    </w:p>
    <w:p>
      <w:pPr>
        <w:pStyle w:val="20"/>
        <w:adjustRightInd w:val="0"/>
        <w:jc w:val="center"/>
        <w:rPr>
          <w:rFonts w:hint="eastAsia" w:ascii="仿宋" w:hAnsi="仿宋" w:eastAsia="仿宋" w:cs="仿宋"/>
          <w:b/>
          <w:bCs/>
          <w:snapToGrid w:val="0"/>
          <w:color w:val="000000"/>
          <w:sz w:val="32"/>
          <w:szCs w:val="32"/>
        </w:rPr>
      </w:pPr>
      <w:r>
        <w:rPr>
          <w:rFonts w:hint="eastAsia" w:ascii="仿宋" w:hAnsi="仿宋" w:eastAsia="仿宋" w:cs="仿宋"/>
          <w:b/>
          <w:bCs/>
          <w:snapToGrid w:val="0"/>
          <w:color w:val="000000"/>
          <w:sz w:val="32"/>
          <w:szCs w:val="32"/>
        </w:rPr>
        <w:t>投  标  书</w:t>
      </w:r>
    </w:p>
    <w:p>
      <w:pPr>
        <w:pStyle w:val="20"/>
        <w:adjustRightInd w:val="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致：</w:t>
      </w:r>
      <w:r>
        <w:rPr>
          <w:rFonts w:hint="eastAsia" w:ascii="仿宋" w:hAnsi="仿宋" w:eastAsia="仿宋" w:cs="仿宋"/>
          <w:snapToGrid w:val="0"/>
          <w:color w:val="000000"/>
          <w:sz w:val="28"/>
        </w:rPr>
        <w:t>江苏常熟农村商业银行股份有限公司</w:t>
      </w:r>
    </w:p>
    <w:p>
      <w:p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根据贵方</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val="en-US" w:eastAsia="zh-CN"/>
        </w:rPr>
        <w:t xml:space="preserve">       </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sz w:val="28"/>
          <w:szCs w:val="28"/>
          <w:highlight w:val="none"/>
          <w:u w:val="single"/>
          <w:lang w:eastAsia="zh-CN"/>
        </w:rPr>
        <w:t>项目</w:t>
      </w:r>
      <w:r>
        <w:rPr>
          <w:rFonts w:hint="eastAsia" w:ascii="仿宋" w:hAnsi="仿宋" w:eastAsia="仿宋" w:cs="仿宋"/>
          <w:snapToGrid w:val="0"/>
          <w:sz w:val="28"/>
          <w:szCs w:val="28"/>
          <w:highlight w:val="none"/>
          <w:u w:val="single"/>
        </w:rPr>
        <w:t xml:space="preserve"> </w:t>
      </w:r>
      <w:r>
        <w:rPr>
          <w:rFonts w:hint="eastAsia" w:ascii="仿宋" w:hAnsi="仿宋" w:eastAsia="仿宋" w:cs="仿宋"/>
          <w:snapToGrid w:val="0"/>
          <w:color w:val="000000"/>
          <w:sz w:val="28"/>
          <w:szCs w:val="28"/>
        </w:rPr>
        <w:t>招标书，投标人</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投标人同意如下：</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投标人承诺项目讲标人为本项目实施的项目经理，投标人应承诺项目实施过程中项目经理不做变更。如发生项目经理变更，招标人有权扣减项目中标金额的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p>
    <w:p>
      <w:pPr>
        <w:numPr>
          <w:ilvl w:val="0"/>
          <w:numId w:val="20"/>
        </w:numPr>
        <w:adjustRightInd w:val="0"/>
        <w:ind w:left="567" w:leftChars="270" w:firstLine="273" w:firstLineChars="0"/>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投标人承诺按项目投标书中项目组人员配制进场实施项目，如人员匹配率低于</w:t>
      </w:r>
      <w:r>
        <w:rPr>
          <w:rFonts w:hint="eastAsia" w:ascii="仿宋" w:hAnsi="仿宋" w:eastAsia="仿宋" w:cs="仿宋"/>
          <w:snapToGrid w:val="0"/>
          <w:color w:val="000000"/>
          <w:sz w:val="28"/>
          <w:szCs w:val="28"/>
          <w:highlight w:val="yellow"/>
          <w:u w:val="single"/>
        </w:rPr>
        <w:t>90%</w:t>
      </w:r>
      <w:r>
        <w:rPr>
          <w:rFonts w:hint="eastAsia" w:ascii="仿宋" w:hAnsi="仿宋" w:eastAsia="仿宋" w:cs="仿宋"/>
          <w:snapToGrid w:val="0"/>
          <w:color w:val="000000"/>
          <w:sz w:val="28"/>
          <w:szCs w:val="28"/>
        </w:rPr>
        <w:t>，招标人有权扣减项目中标金额的</w:t>
      </w:r>
      <w:r>
        <w:rPr>
          <w:rFonts w:hint="eastAsia" w:ascii="仿宋" w:hAnsi="仿宋" w:eastAsia="仿宋" w:cs="仿宋"/>
          <w:snapToGrid w:val="0"/>
          <w:color w:val="000000"/>
          <w:sz w:val="28"/>
          <w:szCs w:val="28"/>
          <w:highlight w:val="yellow"/>
          <w:u w:val="single"/>
        </w:rPr>
        <w:t>10</w:t>
      </w:r>
      <w:r>
        <w:rPr>
          <w:rFonts w:hint="eastAsia" w:ascii="仿宋" w:hAnsi="仿宋" w:eastAsia="仿宋" w:cs="仿宋"/>
          <w:snapToGrid w:val="0"/>
          <w:color w:val="000000"/>
          <w:sz w:val="28"/>
          <w:szCs w:val="28"/>
          <w:u w:val="single"/>
        </w:rPr>
        <w:t>%</w:t>
      </w:r>
      <w:r>
        <w:rPr>
          <w:rFonts w:hint="eastAsia" w:ascii="仿宋" w:hAnsi="仿宋" w:eastAsia="仿宋" w:cs="仿宋"/>
          <w:snapToGrid w:val="0"/>
          <w:color w:val="000000"/>
          <w:sz w:val="28"/>
          <w:szCs w:val="28"/>
        </w:rPr>
        <w:t>，</w:t>
      </w:r>
      <w:r>
        <w:rPr>
          <w:rFonts w:hint="eastAsia" w:ascii="仿宋" w:hAnsi="仿宋" w:eastAsia="仿宋" w:cs="仿宋"/>
          <w:sz w:val="28"/>
          <w:szCs w:val="28"/>
        </w:rPr>
        <w:t>及有权解除中标通知书或项目合同。</w:t>
      </w:r>
      <w:r>
        <w:rPr>
          <w:rFonts w:hint="eastAsia" w:ascii="仿宋" w:hAnsi="仿宋" w:eastAsia="仿宋" w:cs="仿宋"/>
          <w:snapToGrid w:val="0"/>
          <w:color w:val="000000"/>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 w:hAnsi="仿宋" w:eastAsia="仿宋" w:cs="仿宋"/>
          <w:b w:val="0"/>
          <w:bCs w:val="0"/>
          <w:snapToGrid w:val="0"/>
          <w:color w:val="000000"/>
          <w:sz w:val="28"/>
          <w:szCs w:val="28"/>
          <w:highlight w:val="none"/>
        </w:rPr>
      </w:pPr>
      <w:r>
        <w:rPr>
          <w:rFonts w:hint="eastAsia" w:ascii="仿宋" w:hAnsi="仿宋" w:eastAsia="仿宋" w:cs="仿宋"/>
          <w:b w:val="0"/>
          <w:bCs w:val="0"/>
          <w:snapToGrid w:val="0"/>
          <w:color w:val="000000"/>
          <w:sz w:val="28"/>
          <w:szCs w:val="28"/>
          <w:highlight w:val="none"/>
          <w:lang w:eastAsia="zh-CN"/>
        </w:rPr>
        <w:t>投标人</w:t>
      </w:r>
      <w:r>
        <w:rPr>
          <w:rFonts w:hint="eastAsia" w:ascii="仿宋" w:hAnsi="仿宋" w:eastAsia="仿宋" w:cs="仿宋"/>
          <w:b w:val="0"/>
          <w:bCs w:val="0"/>
          <w:snapToGrid w:val="0"/>
          <w:color w:val="000000"/>
          <w:sz w:val="28"/>
          <w:szCs w:val="28"/>
          <w:highlight w:val="none"/>
        </w:rPr>
        <w:t>承诺</w:t>
      </w:r>
      <w:r>
        <w:rPr>
          <w:rFonts w:hint="eastAsia" w:ascii="仿宋" w:hAnsi="仿宋" w:eastAsia="仿宋" w:cs="仿宋"/>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 w:hAnsi="仿宋" w:eastAsia="仿宋" w:cs="仿宋"/>
          <w:b w:val="0"/>
          <w:bCs w:val="0"/>
          <w:snapToGrid w:val="0"/>
          <w:color w:val="000000"/>
          <w:sz w:val="28"/>
          <w:szCs w:val="28"/>
          <w:highlight w:val="none"/>
          <w:lang w:val="en-US" w:eastAsia="zh-CN"/>
        </w:rPr>
        <w:t>(技术标准规范在项目进场实施时提供，概要内容见附件《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》)并对附件《</w:t>
      </w:r>
      <w:r>
        <w:rPr>
          <w:rFonts w:hint="eastAsia" w:ascii="仿宋" w:hAnsi="仿宋" w:eastAsia="仿宋" w:cs="仿宋"/>
          <w:b w:val="0"/>
          <w:bCs w:val="0"/>
          <w:sz w:val="28"/>
          <w:szCs w:val="28"/>
          <w:highlight w:val="none"/>
          <w:lang w:val="en-US" w:eastAsia="zh-CN"/>
        </w:rPr>
        <w:t>科技系统技术标准概要事项</w:t>
      </w:r>
      <w:r>
        <w:rPr>
          <w:rFonts w:hint="eastAsia" w:ascii="仿宋" w:hAnsi="仿宋" w:eastAsia="仿宋" w:cs="仿宋"/>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四、</w:t>
      </w:r>
      <w:r>
        <w:rPr>
          <w:rFonts w:hint="eastAsia" w:ascii="仿宋_GB2312" w:hAnsi="仿宋_GB2312" w:eastAsia="仿宋_GB2312" w:cs="仿宋_GB2312"/>
          <w:snapToGrid w:val="0"/>
          <w:color w:val="000000"/>
          <w:sz w:val="28"/>
          <w:szCs w:val="28"/>
        </w:rPr>
        <w:t>投标方</w:t>
      </w:r>
      <w:r>
        <w:rPr>
          <w:rFonts w:hint="eastAsia" w:ascii="仿宋_GB2312" w:hAnsi="仿宋_GB2312" w:eastAsia="仿宋_GB2312" w:cs="仿宋_GB2312"/>
          <w:color w:val="000000"/>
          <w:sz w:val="28"/>
        </w:rPr>
        <w:t>愿意按招标文件的规定交纳人民币</w:t>
      </w:r>
      <w:r>
        <w:rPr>
          <w:rFonts w:hint="eastAsia" w:ascii="仿宋_GB2312" w:hAnsi="仿宋_GB2312" w:eastAsia="仿宋_GB2312" w:cs="仿宋_GB2312"/>
          <w:color w:val="000000"/>
          <w:sz w:val="28"/>
          <w:lang w:val="en-US" w:eastAsia="zh-CN"/>
        </w:rPr>
        <w:t>(大写)</w:t>
      </w:r>
      <w:r>
        <w:rPr>
          <w:rFonts w:hint="eastAsia" w:ascii="仿宋_GB2312" w:hAnsi="仿宋_GB2312" w:eastAsia="仿宋_GB2312" w:cs="仿宋_GB2312"/>
          <w:color w:val="000000"/>
          <w:sz w:val="28"/>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五、</w:t>
      </w:r>
      <w:r>
        <w:rPr>
          <w:rFonts w:hint="eastAsia" w:ascii="仿宋_GB2312" w:hAnsi="仿宋_GB2312" w:eastAsia="仿宋_GB2312" w:cs="仿宋_GB2312"/>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 w:hAnsi="仿宋" w:eastAsia="仿宋" w:cs="仿宋"/>
          <w:snapToGrid w:val="0"/>
          <w:color w:val="000000"/>
          <w:sz w:val="28"/>
          <w:szCs w:val="28"/>
        </w:rPr>
      </w:pPr>
    </w:p>
    <w:p>
      <w:pPr>
        <w:adjustRightInd w:val="0"/>
        <w:ind w:firstLine="624"/>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与本投标有关的一切正式信函使用以下地址：</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地址：</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邮编：</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电话：</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传真：</w:t>
      </w:r>
      <w:r>
        <w:rPr>
          <w:rFonts w:hint="eastAsia" w:ascii="仿宋" w:hAnsi="仿宋" w:eastAsia="仿宋" w:cs="仿宋"/>
          <w:snapToGrid w:val="0"/>
          <w:color w:val="00000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投标人法定代表人姓名、职务（印刷体）：</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投标人名称：</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单位公章：</w:t>
      </w:r>
      <w:r>
        <w:rPr>
          <w:rFonts w:hint="eastAsia" w:ascii="仿宋" w:hAnsi="仿宋" w:eastAsia="仿宋" w:cs="仿宋"/>
          <w:snapToGrid w:val="0"/>
          <w:sz w:val="28"/>
          <w:szCs w:val="28"/>
          <w:highlight w:val="none"/>
          <w:u w:val="single"/>
        </w:rPr>
        <w:t xml:space="preserve">                       </w:t>
      </w:r>
    </w:p>
    <w:p>
      <w:pPr>
        <w:pStyle w:val="20"/>
        <w:adjustRightInd w:val="0"/>
        <w:ind w:firstLine="624"/>
        <w:rPr>
          <w:rFonts w:hint="eastAsia" w:ascii="仿宋" w:hAnsi="仿宋" w:eastAsia="仿宋" w:cs="仿宋"/>
          <w:snapToGrid w:val="0"/>
          <w:sz w:val="28"/>
          <w:szCs w:val="28"/>
          <w:highlight w:val="none"/>
        </w:rPr>
      </w:pPr>
      <w:r>
        <w:rPr>
          <w:rFonts w:hint="eastAsia" w:ascii="仿宋" w:hAnsi="仿宋" w:eastAsia="仿宋" w:cs="仿宋"/>
          <w:snapToGrid w:val="0"/>
          <w:sz w:val="28"/>
          <w:szCs w:val="28"/>
          <w:highlight w:val="none"/>
        </w:rPr>
        <w:t>法定代表人或授权代理人签字：</w:t>
      </w:r>
      <w:r>
        <w:rPr>
          <w:rFonts w:hint="eastAsia" w:ascii="仿宋" w:hAnsi="仿宋" w:eastAsia="仿宋" w:cs="仿宋"/>
          <w:snapToGrid w:val="0"/>
          <w:sz w:val="28"/>
          <w:szCs w:val="28"/>
          <w:highlight w:val="none"/>
          <w:u w:val="single"/>
        </w:rPr>
        <w:t xml:space="preserve">                    </w:t>
      </w:r>
    </w:p>
    <w:p>
      <w:pPr>
        <w:autoSpaceDE w:val="0"/>
        <w:autoSpaceDN w:val="0"/>
        <w:adjustRightInd w:val="0"/>
        <w:ind w:firstLine="624"/>
        <w:jc w:val="left"/>
        <w:rPr>
          <w:rFonts w:hint="eastAsia" w:ascii="仿宋" w:hAnsi="仿宋" w:eastAsia="仿宋" w:cs="仿宋"/>
          <w:snapToGrid w:val="0"/>
          <w:sz w:val="28"/>
          <w:szCs w:val="28"/>
          <w:highlight w:val="none"/>
        </w:rPr>
      </w:pPr>
      <w:r>
        <w:rPr>
          <w:rFonts w:hint="eastAsia" w:ascii="仿宋" w:hAnsi="仿宋" w:eastAsia="仿宋" w:cs="仿宋"/>
          <w:snapToGrid w:val="0"/>
          <w:color w:val="000000"/>
          <w:sz w:val="28"/>
          <w:szCs w:val="28"/>
          <w:highlight w:val="none"/>
        </w:rPr>
        <w:t>日期：</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w:t>
      </w:r>
    </w:p>
    <w:p>
      <w:pPr>
        <w:pStyle w:val="3"/>
        <w:spacing w:after="0" w:line="240" w:lineRule="auto"/>
        <w:jc w:val="left"/>
        <w:rPr>
          <w:rFonts w:hint="eastAsia" w:ascii="仿宋" w:hAnsi="仿宋" w:eastAsia="仿宋" w:cs="仿宋"/>
          <w:b w:val="0"/>
          <w:snapToGrid w:val="0"/>
          <w:color w:val="000000"/>
          <w:sz w:val="28"/>
          <w:szCs w:val="28"/>
        </w:rPr>
      </w:pPr>
      <w:r>
        <w:rPr>
          <w:rFonts w:hint="eastAsia" w:ascii="宋体" w:hAnsi="宋体" w:eastAsia="宋体"/>
          <w:b w:val="0"/>
          <w:snapToGrid w:val="0"/>
          <w:color w:val="000000"/>
          <w:sz w:val="28"/>
          <w:szCs w:val="28"/>
        </w:rPr>
        <w:br w:type="page"/>
      </w:r>
      <w:r>
        <w:rPr>
          <w:rFonts w:hint="eastAsia" w:ascii="仿宋" w:hAnsi="仿宋" w:eastAsia="仿宋" w:cs="仿宋"/>
          <w:b w:val="0"/>
          <w:snapToGrid w:val="0"/>
          <w:color w:val="000000"/>
          <w:sz w:val="28"/>
          <w:szCs w:val="28"/>
        </w:rPr>
        <w:t>附件2：法人代表授权委托书</w:t>
      </w:r>
    </w:p>
    <w:p/>
    <w:p>
      <w:pPr>
        <w:jc w:val="center"/>
        <w:rPr>
          <w:rFonts w:hint="eastAsia" w:ascii="仿宋" w:hAnsi="仿宋" w:eastAsia="仿宋" w:cs="仿宋"/>
          <w:sz w:val="32"/>
          <w:szCs w:val="32"/>
        </w:rPr>
      </w:pPr>
      <w:r>
        <w:rPr>
          <w:rFonts w:hint="eastAsia" w:ascii="仿宋" w:hAnsi="仿宋" w:eastAsia="仿宋" w:cs="仿宋"/>
          <w:b/>
          <w:snapToGrid w:val="0"/>
          <w:color w:val="000000"/>
          <w:sz w:val="32"/>
          <w:szCs w:val="32"/>
        </w:rPr>
        <w:t>法人代表授权委托书</w:t>
      </w: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highlight w:val="none"/>
        </w:rPr>
        <w:t>（投标人公司名称）（投标人公司注册地点）</w:t>
      </w:r>
      <w:r>
        <w:rPr>
          <w:rFonts w:hint="eastAsia" w:ascii="仿宋" w:hAnsi="仿宋" w:eastAsia="仿宋" w:cs="仿宋"/>
          <w:bCs/>
          <w:snapToGrid w:val="0"/>
          <w:sz w:val="28"/>
          <w:szCs w:val="28"/>
        </w:rPr>
        <w:t>法定代表人</w:t>
      </w:r>
      <w:r>
        <w:rPr>
          <w:rFonts w:hint="eastAsia" w:ascii="仿宋" w:hAnsi="仿宋" w:eastAsia="仿宋" w:cs="仿宋"/>
          <w:bCs/>
          <w:snapToGrid w:val="0"/>
          <w:sz w:val="28"/>
          <w:szCs w:val="28"/>
          <w:highlight w:val="none"/>
        </w:rPr>
        <w:t>（姓名）经合法授权，特代表本公司（以下称“投标人”）任命：（姓名）为正式的合法代理人，并授权该代理人在有关的投标工作中，</w:t>
      </w:r>
      <w:r>
        <w:rPr>
          <w:rFonts w:hint="eastAsia" w:ascii="仿宋" w:hAnsi="仿宋" w:eastAsia="仿宋" w:cs="仿宋"/>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特签字如下，以资证明。</w:t>
      </w: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 w:hAnsi="仿宋" w:eastAsia="仿宋" w:cs="仿宋"/>
          <w:b w:val="0"/>
          <w:snapToGrid w:val="0"/>
          <w:color w:val="000000"/>
          <w:sz w:val="28"/>
          <w:szCs w:val="28"/>
        </w:rPr>
      </w:pPr>
      <w:r>
        <w:rPr>
          <w:rFonts w:ascii="宋体" w:hAnsi="宋体" w:cs="宋体"/>
          <w:spacing w:val="2"/>
          <w:kern w:val="0"/>
          <w:position w:val="-1"/>
          <w:sz w:val="28"/>
          <w:szCs w:val="28"/>
          <w:lang w:val="zh-CN"/>
        </w:rPr>
        <w:br w:type="page"/>
      </w:r>
      <w:r>
        <w:rPr>
          <w:rFonts w:hint="eastAsia" w:ascii="仿宋" w:hAnsi="仿宋" w:eastAsia="仿宋" w:cs="仿宋"/>
          <w:b w:val="0"/>
          <w:snapToGrid w:val="0"/>
          <w:color w:val="000000"/>
          <w:sz w:val="28"/>
          <w:szCs w:val="28"/>
        </w:rPr>
        <w:t>附件</w:t>
      </w:r>
      <w:r>
        <w:rPr>
          <w:rFonts w:hint="eastAsia" w:ascii="仿宋" w:hAnsi="仿宋" w:eastAsia="仿宋" w:cs="仿宋"/>
          <w:b w:val="0"/>
          <w:snapToGrid w:val="0"/>
          <w:color w:val="000000"/>
          <w:sz w:val="28"/>
          <w:szCs w:val="28"/>
          <w:lang w:eastAsia="zh-CN"/>
        </w:rPr>
        <w:t>３</w:t>
      </w:r>
      <w:r>
        <w:rPr>
          <w:rFonts w:hint="eastAsia" w:ascii="仿宋" w:hAnsi="仿宋" w:eastAsia="仿宋" w:cs="仿宋"/>
          <w:b w:val="0"/>
          <w:snapToGrid w:val="0"/>
          <w:color w:val="000000"/>
          <w:sz w:val="28"/>
          <w:szCs w:val="28"/>
          <w:lang w:val="en-US" w:eastAsia="zh-CN"/>
        </w:rPr>
        <w:t>：</w:t>
      </w:r>
      <w:r>
        <w:rPr>
          <w:rFonts w:hint="eastAsia" w:ascii="仿宋" w:hAnsi="仿宋" w:eastAsia="仿宋" w:cs="仿宋"/>
          <w:b w:val="0"/>
          <w:bCs/>
          <w:snapToGrid w:val="0"/>
          <w:color w:val="000000"/>
          <w:kern w:val="2"/>
          <w:sz w:val="28"/>
          <w:szCs w:val="28"/>
          <w:lang w:val="en-US" w:eastAsia="zh-CN" w:bidi="ar-SA"/>
        </w:rPr>
        <w:t>投标价格一览表【单独密封】</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投标价格</w:t>
      </w:r>
      <w:r>
        <w:rPr>
          <w:rFonts w:hint="eastAsia" w:ascii="仿宋" w:hAnsi="仿宋" w:eastAsia="仿宋" w:cs="仿宋"/>
          <w:b w:val="0"/>
          <w:bCs/>
          <w:snapToGrid w:val="0"/>
          <w:color w:val="000000"/>
          <w:kern w:val="2"/>
          <w:sz w:val="28"/>
          <w:szCs w:val="28"/>
          <w:lang w:val="en-US" w:eastAsia="zh-CN" w:bidi="ar-SA"/>
        </w:rPr>
        <w:t>一览·表</w:t>
      </w:r>
      <w:r>
        <w:rPr>
          <w:rFonts w:hint="eastAsia" w:ascii="仿宋" w:hAnsi="仿宋" w:eastAsia="仿宋" w:cs="仿宋"/>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项目总报价</w:t>
      </w:r>
      <w:r>
        <w:rPr>
          <w:rFonts w:hint="eastAsia" w:ascii="仿宋" w:hAnsi="仿宋" w:eastAsia="仿宋" w:cs="仿宋"/>
          <w:bCs/>
          <w:snapToGrid w:val="0"/>
          <w:sz w:val="28"/>
          <w:szCs w:val="28"/>
          <w:lang w:eastAsia="zh-CN"/>
        </w:rPr>
        <w:t>（人民币）</w:t>
      </w:r>
      <w:r>
        <w:rPr>
          <w:rFonts w:hint="eastAsia" w:ascii="仿宋" w:hAnsi="仿宋" w:eastAsia="仿宋" w:cs="仿宋"/>
          <w:bCs/>
          <w:snapToGrid w:val="0"/>
          <w:sz w:val="28"/>
          <w:szCs w:val="28"/>
        </w:rPr>
        <w:t>：</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lang w:eastAsia="zh-CN"/>
        </w:rPr>
        <w:t>元</w:t>
      </w:r>
      <w:r>
        <w:rPr>
          <w:rFonts w:hint="eastAsia" w:ascii="仿宋" w:hAnsi="仿宋" w:eastAsia="仿宋" w:cs="仿宋"/>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项目计划进场时间：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snapToGrid w:val="0"/>
          <w:color w:val="000000"/>
          <w:sz w:val="28"/>
          <w:szCs w:val="28"/>
        </w:rPr>
      </w:pPr>
      <w:r>
        <w:rPr>
          <w:rFonts w:hint="eastAsia" w:ascii="仿宋" w:hAnsi="仿宋" w:eastAsia="仿宋" w:cs="仿宋"/>
          <w:bCs/>
          <w:snapToGrid w:val="0"/>
          <w:sz w:val="28"/>
          <w:szCs w:val="28"/>
        </w:rPr>
        <w:t>预计项目上线时间：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项目计划总工期：</w:t>
      </w:r>
      <w:r>
        <w:rPr>
          <w:rFonts w:hint="eastAsia" w:ascii="仿宋" w:hAnsi="仿宋" w:eastAsia="仿宋" w:cs="仿宋"/>
          <w:bCs/>
          <w:snapToGrid w:val="0"/>
          <w:sz w:val="28"/>
          <w:szCs w:val="28"/>
          <w:u w:val="single"/>
        </w:rPr>
        <w:t xml:space="preserve">           </w:t>
      </w:r>
      <w:r>
        <w:rPr>
          <w:rFonts w:hint="eastAsia" w:ascii="仿宋" w:hAnsi="仿宋" w:eastAsia="仿宋" w:cs="仿宋"/>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人月单价:</w:t>
      </w:r>
      <w:r>
        <w:rPr>
          <w:rFonts w:hint="eastAsia" w:ascii="仿宋" w:hAnsi="仿宋" w:eastAsia="仿宋" w:cs="仿宋"/>
          <w:bCs/>
          <w:snapToGrid w:val="0"/>
          <w:sz w:val="28"/>
          <w:szCs w:val="28"/>
          <w:u w:val="single"/>
          <w:lang w:val="en-US" w:eastAsia="zh-CN"/>
        </w:rPr>
        <w:t xml:space="preserve">            </w:t>
      </w:r>
      <w:r>
        <w:rPr>
          <w:rFonts w:hint="eastAsia" w:ascii="仿宋" w:hAnsi="仿宋" w:eastAsia="仿宋" w:cs="仿宋"/>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 w:hAnsi="仿宋" w:eastAsia="仿宋" w:cs="仿宋"/>
          <w:bCs/>
          <w:snapToGrid w:val="0"/>
          <w:sz w:val="28"/>
          <w:szCs w:val="28"/>
          <w:lang w:eastAsia="zh-CN"/>
        </w:rPr>
      </w:pPr>
      <w:r>
        <w:rPr>
          <w:rFonts w:hint="eastAsia" w:ascii="仿宋" w:hAnsi="仿宋" w:eastAsia="仿宋" w:cs="仿宋"/>
          <w:bCs/>
          <w:snapToGrid w:val="0"/>
          <w:sz w:val="28"/>
          <w:szCs w:val="28"/>
          <w:lang w:eastAsia="zh-CN"/>
        </w:rPr>
        <w:t>报价明细：</w:t>
      </w:r>
    </w:p>
    <w:tbl>
      <w:tblPr>
        <w:tblStyle w:val="32"/>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rPr>
            </w:pPr>
            <w:r>
              <w:rPr>
                <w:rFonts w:hint="eastAsia" w:ascii="华文仿宋" w:hAnsi="华文仿宋" w:eastAsia="华文仿宋" w:cs="华文仿宋"/>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数</w:t>
            </w:r>
            <w:r>
              <w:rPr>
                <w:rFonts w:hint="eastAsia" w:ascii="华文仿宋" w:hAnsi="华文仿宋" w:eastAsia="华文仿宋" w:cs="华文仿宋"/>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iCs/>
                <w:sz w:val="20"/>
                <w:szCs w:val="20"/>
                <w:highlight w:val="none"/>
                <w:lang w:eastAsia="zh-CN"/>
              </w:rPr>
              <w:t>软件名称</w:t>
            </w:r>
            <w:r>
              <w:rPr>
                <w:rFonts w:hint="eastAsia" w:ascii="华文仿宋" w:hAnsi="华文仿宋" w:eastAsia="华文仿宋" w:cs="华文仿宋"/>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2"/>
                <w:szCs w:val="22"/>
                <w:lang w:val="en-US" w:eastAsia="zh-CN"/>
              </w:rPr>
            </w:pPr>
            <w:r>
              <w:rPr>
                <w:rFonts w:hint="eastAsia" w:ascii="华文仿宋" w:hAnsi="华文仿宋" w:eastAsia="华文仿宋" w:cs="华文仿宋"/>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8"/>
                <w:szCs w:val="28"/>
                <w:vertAlign w:val="baseline"/>
                <w:lang w:val="en-US" w:eastAsia="zh-CN"/>
              </w:rPr>
            </w:pPr>
            <w:r>
              <w:rPr>
                <w:rFonts w:hint="eastAsia" w:ascii="华文仿宋" w:hAnsi="华文仿宋" w:eastAsia="华文仿宋" w:cs="华文仿宋"/>
                <w:i/>
                <w:iCs/>
                <w:sz w:val="20"/>
                <w:szCs w:val="20"/>
                <w:highlight w:val="none"/>
                <w:lang w:eastAsia="zh-CN"/>
              </w:rPr>
              <w:t>咨询</w:t>
            </w:r>
            <w:r>
              <w:rPr>
                <w:rFonts w:hint="eastAsia" w:ascii="华文仿宋" w:hAnsi="华文仿宋" w:eastAsia="华文仿宋" w:cs="华文仿宋"/>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系统（含软、硬件等）应提供免费维护期为</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至少1年</w:t>
      </w:r>
      <w:r>
        <w:rPr>
          <w:rFonts w:hint="eastAsia" w:ascii="华文仿宋" w:hAnsi="华文仿宋" w:eastAsia="华文仿宋" w:cs="华文仿宋"/>
          <w:sz w:val="28"/>
          <w:szCs w:val="28"/>
          <w:highlight w:val="none"/>
          <w:lang w:eastAsia="zh-CN"/>
        </w:rPr>
        <w:t>）</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eastAsia="zh-CN"/>
        </w:rPr>
        <w:t>维护期内提供（</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eastAsia="zh-CN"/>
        </w:rPr>
        <w:t>驻场</w:t>
      </w:r>
      <w:r>
        <w:rPr>
          <w:rFonts w:hint="eastAsia" w:ascii="华文仿宋" w:hAnsi="华文仿宋" w:eastAsia="华文仿宋" w:cs="华文仿宋"/>
          <w:sz w:val="28"/>
          <w:szCs w:val="28"/>
          <w:highlight w:val="none"/>
          <w:lang w:val="en-US" w:eastAsia="zh-CN"/>
        </w:rPr>
        <w:t xml:space="preserve"> </w:t>
      </w:r>
      <w:r>
        <w:rPr>
          <w:rFonts w:hint="eastAsia" w:ascii="仿宋" w:hAnsi="仿宋" w:eastAsia="仿宋" w:cs="仿宋"/>
          <w:sz w:val="28"/>
          <w:szCs w:val="28"/>
          <w:highlight w:val="none"/>
          <w:lang w:eastAsia="zh-CN"/>
        </w:rPr>
        <w:t>□</w:t>
      </w:r>
      <w:r>
        <w:rPr>
          <w:rFonts w:hint="eastAsia" w:ascii="华文仿宋" w:hAnsi="华文仿宋" w:eastAsia="华文仿宋" w:cs="华文仿宋"/>
          <w:sz w:val="28"/>
          <w:szCs w:val="28"/>
          <w:highlight w:val="none"/>
          <w:lang w:val="en-US" w:eastAsia="zh-CN"/>
        </w:rPr>
        <w:t xml:space="preserve">远程支持 </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u w:val="single"/>
          <w:lang w:val="en-US" w:eastAsia="zh-CN"/>
        </w:rPr>
        <w:t xml:space="preserve">       </w:t>
      </w:r>
      <w:r>
        <w:rPr>
          <w:rFonts w:hint="eastAsia" w:ascii="华文仿宋" w:hAnsi="华文仿宋" w:eastAsia="华文仿宋" w:cs="华文仿宋"/>
          <w:sz w:val="28"/>
          <w:szCs w:val="28"/>
          <w:highlight w:val="none"/>
          <w:lang w:eastAsia="zh-CN"/>
        </w:rPr>
        <w:t>）支持服务，</w:t>
      </w:r>
      <w:r>
        <w:rPr>
          <w:rFonts w:hint="eastAsia" w:ascii="华文仿宋" w:hAnsi="华文仿宋" w:eastAsia="华文仿宋" w:cs="华文仿宋"/>
          <w:sz w:val="28"/>
          <w:szCs w:val="28"/>
          <w:highlight w:val="none"/>
        </w:rPr>
        <w:t>维护期满后，每年度系统维护服务费用不超过项目总报价的10 %</w:t>
      </w:r>
      <w:r>
        <w:rPr>
          <w:rFonts w:hint="eastAsia" w:ascii="华文仿宋" w:hAnsi="华文仿宋" w:eastAsia="华文仿宋" w:cs="华文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软件类系统，系统上线</w:t>
      </w:r>
      <w:r>
        <w:rPr>
          <w:rFonts w:hint="eastAsia" w:ascii="华文仿宋" w:hAnsi="华文仿宋" w:eastAsia="华文仿宋" w:cs="华文仿宋"/>
          <w:sz w:val="28"/>
          <w:szCs w:val="28"/>
          <w:highlight w:val="yellow"/>
          <w:u w:val="single"/>
        </w:rPr>
        <w:t>2</w:t>
      </w:r>
      <w:r>
        <w:rPr>
          <w:rFonts w:hint="eastAsia" w:ascii="华文仿宋" w:hAnsi="华文仿宋" w:eastAsia="华文仿宋" w:cs="华文仿宋"/>
          <w:sz w:val="28"/>
          <w:szCs w:val="28"/>
          <w:highlight w:val="none"/>
        </w:rPr>
        <w:t>年内，</w:t>
      </w:r>
      <w:r>
        <w:rPr>
          <w:rFonts w:hint="eastAsia" w:ascii="华文仿宋" w:hAnsi="华文仿宋" w:eastAsia="华文仿宋" w:cs="华文仿宋"/>
          <w:sz w:val="28"/>
          <w:szCs w:val="28"/>
          <w:highlight w:val="none"/>
          <w:lang w:eastAsia="zh-CN"/>
        </w:rPr>
        <w:t>由于功能新增</w:t>
      </w:r>
      <w:r>
        <w:rPr>
          <w:rFonts w:hint="eastAsia" w:ascii="华文仿宋" w:hAnsi="华文仿宋" w:eastAsia="华文仿宋" w:cs="华文仿宋"/>
          <w:sz w:val="28"/>
          <w:szCs w:val="28"/>
          <w:highlight w:val="none"/>
        </w:rPr>
        <w:t>经双发协商同意需要计算工作量的，</w:t>
      </w:r>
      <w:r>
        <w:rPr>
          <w:rFonts w:hint="eastAsia" w:ascii="华文仿宋" w:hAnsi="华文仿宋" w:eastAsia="华文仿宋" w:cs="华文仿宋"/>
          <w:sz w:val="28"/>
          <w:szCs w:val="28"/>
          <w:highlight w:val="none"/>
          <w:lang w:eastAsia="zh-CN"/>
        </w:rPr>
        <w:t>工作量</w:t>
      </w:r>
      <w:r>
        <w:rPr>
          <w:rFonts w:hint="eastAsia" w:ascii="华文仿宋" w:hAnsi="华文仿宋" w:eastAsia="华文仿宋" w:cs="华文仿宋"/>
          <w:sz w:val="28"/>
          <w:szCs w:val="28"/>
          <w:highlight w:val="none"/>
        </w:rPr>
        <w:t>报价不超</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u w:val="single"/>
          <w:lang w:val="en-US" w:eastAsia="zh-CN"/>
        </w:rPr>
        <w:t xml:space="preserve">    </w:t>
      </w:r>
      <w:r>
        <w:rPr>
          <w:rFonts w:hint="eastAsia" w:ascii="华文仿宋" w:hAnsi="华文仿宋" w:eastAsia="华文仿宋" w:cs="华文仿宋"/>
          <w:sz w:val="28"/>
          <w:szCs w:val="28"/>
          <w:highlight w:val="none"/>
          <w:u w:val="single"/>
        </w:rPr>
        <w:t xml:space="preserve"> </w:t>
      </w:r>
      <w:r>
        <w:rPr>
          <w:rFonts w:hint="eastAsia" w:ascii="华文仿宋" w:hAnsi="华文仿宋" w:eastAsia="华文仿宋" w:cs="华文仿宋"/>
          <w:sz w:val="28"/>
          <w:szCs w:val="28"/>
          <w:highlight w:val="none"/>
        </w:rPr>
        <w:t>元</w:t>
      </w:r>
      <w:r>
        <w:rPr>
          <w:rFonts w:hint="eastAsia" w:ascii="华文仿宋" w:hAnsi="华文仿宋" w:eastAsia="华文仿宋" w:cs="华文仿宋"/>
          <w:sz w:val="28"/>
          <w:szCs w:val="28"/>
          <w:highlight w:val="none"/>
          <w:lang w:val="en-US" w:eastAsia="zh-CN"/>
        </w:rPr>
        <w:t>/人月</w:t>
      </w:r>
      <w:r>
        <w:rPr>
          <w:rFonts w:hint="eastAsia" w:ascii="华文仿宋" w:hAnsi="华文仿宋" w:eastAsia="华文仿宋" w:cs="华文仿宋"/>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投标人应在项目计划进场时间安排人员进场，未在期限内完成人员进场，每延迟一日，应向招标人支付相当于项目中标总金额万分之</w:t>
      </w:r>
      <w:r>
        <w:rPr>
          <w:rFonts w:hint="eastAsia" w:ascii="华文仿宋" w:hAnsi="华文仿宋" w:eastAsia="华文仿宋" w:cs="华文仿宋"/>
          <w:sz w:val="28"/>
          <w:szCs w:val="28"/>
          <w:highlight w:val="yellow"/>
          <w:u w:val="single"/>
          <w:lang w:eastAsia="zh-CN"/>
        </w:rPr>
        <w:t>五</w:t>
      </w:r>
      <w:r>
        <w:rPr>
          <w:rFonts w:hint="eastAsia" w:ascii="华文仿宋" w:hAnsi="华文仿宋" w:eastAsia="华文仿宋" w:cs="华文仿宋"/>
          <w:sz w:val="28"/>
          <w:szCs w:val="28"/>
        </w:rPr>
        <w:t>的违约金</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投标人单位公章：</w:t>
      </w: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autoSpaceDE w:val="0"/>
        <w:autoSpaceDN w:val="0"/>
        <w:adjustRightInd w:val="0"/>
        <w:spacing w:line="480" w:lineRule="auto"/>
        <w:ind w:right="-20"/>
        <w:jc w:val="left"/>
        <w:rPr>
          <w:rFonts w:hint="eastAsia" w:ascii="仿宋" w:hAnsi="仿宋" w:eastAsia="仿宋" w:cs="仿宋"/>
          <w:bCs/>
          <w:snapToGrid w:val="0"/>
          <w:sz w:val="28"/>
          <w:szCs w:val="28"/>
        </w:rPr>
      </w:pPr>
    </w:p>
    <w:p>
      <w:pPr>
        <w:autoSpaceDE w:val="0"/>
        <w:autoSpaceDN w:val="0"/>
        <w:adjustRightInd w:val="0"/>
        <w:spacing w:line="480" w:lineRule="auto"/>
        <w:ind w:left="600" w:right="-20"/>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 w:hAnsi="仿宋" w:eastAsia="仿宋" w:cs="仿宋"/>
          <w:bCs/>
          <w:snapToGrid w:val="0"/>
          <w:sz w:val="28"/>
          <w:szCs w:val="28"/>
        </w:rPr>
      </w:pPr>
      <w:r>
        <w:rPr>
          <w:rFonts w:hint="eastAsia" w:ascii="仿宋" w:hAnsi="仿宋" w:eastAsia="仿宋" w:cs="仿宋"/>
          <w:bCs/>
          <w:snapToGrid w:val="0"/>
          <w:sz w:val="28"/>
          <w:szCs w:val="28"/>
        </w:rPr>
        <w:tab/>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Cs/>
          <w:snapToGrid w:val="0"/>
          <w:sz w:val="28"/>
          <w:szCs w:val="28"/>
        </w:rPr>
      </w:pPr>
      <w:r>
        <w:rPr>
          <w:rFonts w:hint="eastAsia" w:ascii="仿宋" w:hAnsi="仿宋" w:eastAsia="仿宋" w:cs="仿宋"/>
          <w:bCs/>
          <w:snapToGrid w:val="0"/>
          <w:sz w:val="28"/>
          <w:szCs w:val="28"/>
        </w:rPr>
        <w:t>日期：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ascii="宋体" w:hAnsi="宋体" w:eastAsia="宋体"/>
          <w:b w:val="0"/>
          <w:snapToGrid w:val="0"/>
          <w:color w:val="000000"/>
          <w:sz w:val="28"/>
          <w:szCs w:val="28"/>
        </w:rPr>
      </w:pPr>
      <w:r>
        <w:rPr>
          <w:rFonts w:ascii="宋体" w:hAnsi="宋体"/>
          <w:sz w:val="28"/>
          <w:szCs w:val="28"/>
        </w:rPr>
        <w:br w:type="page"/>
      </w:r>
      <w:r>
        <w:rPr>
          <w:rFonts w:hint="eastAsia" w:ascii="仿宋" w:hAnsi="仿宋" w:eastAsia="仿宋" w:cs="仿宋"/>
          <w:b w:val="0"/>
          <w:snapToGrid w:val="0"/>
          <w:color w:val="000000"/>
          <w:sz w:val="28"/>
          <w:szCs w:val="28"/>
        </w:rPr>
        <w:t>附件4：投标人情况简介</w:t>
      </w:r>
    </w:p>
    <w:p>
      <w:pPr>
        <w:jc w:val="center"/>
        <w:rPr>
          <w:rFonts w:hint="default" w:ascii="仿宋" w:hAnsi="仿宋" w:eastAsia="仿宋" w:cs="仿宋"/>
          <w:b/>
          <w:snapToGrid w:val="0"/>
          <w:color w:val="000000"/>
          <w:sz w:val="32"/>
          <w:szCs w:val="32"/>
        </w:rPr>
      </w:pPr>
      <w:r>
        <w:rPr>
          <w:rFonts w:hint="eastAsia" w:ascii="仿宋" w:hAnsi="仿宋" w:eastAsia="仿宋" w:cs="仿宋"/>
          <w:b/>
          <w:snapToGrid w:val="0"/>
          <w:color w:val="000000"/>
          <w:sz w:val="32"/>
          <w:szCs w:val="32"/>
        </w:rPr>
        <w:t>投标人情况简介</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投标人名称：</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地址：</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rPr>
        <w:t>邮编：</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传真／电话：</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成立日期或注册日期：</w:t>
      </w:r>
      <w:r>
        <w:rPr>
          <w:rFonts w:hint="eastAsia" w:ascii="华文仿宋" w:hAnsi="华文仿宋" w:eastAsia="华文仿宋" w:cs="华文仿宋"/>
          <w:snapToGrid w:val="0"/>
          <w:color w:val="000000"/>
          <w:sz w:val="28"/>
          <w:szCs w:val="28"/>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法定代表人或主要负责人姓名：</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u w:val="single"/>
        </w:rPr>
      </w:pPr>
      <w:r>
        <w:rPr>
          <w:rFonts w:hint="eastAsia" w:ascii="华文仿宋" w:hAnsi="华文仿宋" w:eastAsia="华文仿宋" w:cs="华文仿宋"/>
          <w:snapToGrid w:val="0"/>
          <w:color w:val="000000"/>
          <w:sz w:val="28"/>
          <w:szCs w:val="28"/>
        </w:rPr>
        <w:t>注册资本：</w:t>
      </w:r>
      <w:r>
        <w:rPr>
          <w:rFonts w:hint="eastAsia" w:ascii="华文仿宋" w:hAnsi="华文仿宋" w:eastAsia="华文仿宋" w:cs="华文仿宋"/>
          <w:snapToGrid w:val="0"/>
          <w:color w:val="000000"/>
          <w:sz w:val="28"/>
          <w:szCs w:val="28"/>
          <w:u w:val="single"/>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rPr>
      </w:pPr>
      <w:r>
        <w:rPr>
          <w:rFonts w:hint="eastAsia" w:ascii="华文仿宋" w:hAnsi="华文仿宋" w:eastAsia="华文仿宋" w:cs="华文仿宋"/>
          <w:snapToGrid w:val="0"/>
          <w:color w:val="000000"/>
          <w:sz w:val="28"/>
          <w:szCs w:val="28"/>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u w:val="single"/>
          <w:lang w:val="en-US" w:eastAsia="zh-CN"/>
        </w:rPr>
      </w:pPr>
      <w:r>
        <w:rPr>
          <w:rFonts w:hint="eastAsia" w:ascii="华文仿宋" w:hAnsi="华文仿宋" w:eastAsia="华文仿宋" w:cs="华文仿宋"/>
          <w:snapToGrid w:val="0"/>
          <w:color w:val="000000"/>
          <w:sz w:val="24"/>
          <w:szCs w:val="24"/>
          <w:lang w:eastAsia="zh-CN"/>
        </w:rPr>
        <w:t>成立</w:t>
      </w:r>
      <w:r>
        <w:rPr>
          <w:rFonts w:hint="eastAsia" w:ascii="华文仿宋" w:hAnsi="华文仿宋" w:eastAsia="华文仿宋" w:cs="华文仿宋"/>
          <w:snapToGrid w:val="0"/>
          <w:color w:val="000000"/>
          <w:sz w:val="24"/>
          <w:szCs w:val="24"/>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华文仿宋" w:hAnsi="华文仿宋" w:eastAsia="华文仿宋" w:cs="华文仿宋"/>
          <w:snapToGrid w:val="0"/>
          <w:color w:val="000000"/>
          <w:sz w:val="24"/>
          <w:szCs w:val="24"/>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华文仿宋" w:hAnsi="华文仿宋" w:eastAsia="华文仿宋" w:cs="华文仿宋"/>
          <w:snapToGrid w:val="0"/>
          <w:color w:val="000000"/>
          <w:sz w:val="24"/>
          <w:szCs w:val="24"/>
          <w:lang w:eastAsia="zh-CN"/>
        </w:rPr>
      </w:pPr>
      <w:r>
        <w:rPr>
          <w:rFonts w:hint="eastAsia" w:ascii="华文仿宋" w:hAnsi="华文仿宋" w:eastAsia="华文仿宋" w:cs="华文仿宋"/>
          <w:snapToGrid w:val="0"/>
          <w:color w:val="000000"/>
          <w:sz w:val="24"/>
          <w:szCs w:val="24"/>
          <w:lang w:eastAsia="zh-CN"/>
        </w:rPr>
        <w:t>其中，本次投标或服务在国内金融行业的应用情况（如有的话）：</w:t>
      </w:r>
    </w:p>
    <w:p>
      <w:pPr>
        <w:pStyle w:val="20"/>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华文仿宋" w:hAnsi="华文仿宋" w:eastAsia="华文仿宋" w:cs="华文仿宋"/>
          <w:snapToGrid w:val="0"/>
          <w:color w:val="000000"/>
          <w:sz w:val="28"/>
          <w:szCs w:val="28"/>
        </w:rPr>
      </w:pPr>
    </w:p>
    <w:p>
      <w:pPr>
        <w:pStyle w:val="20"/>
        <w:tabs>
          <w:tab w:val="left" w:pos="360"/>
        </w:tabs>
        <w:adjustRightInd w:val="0"/>
        <w:rPr>
          <w:rFonts w:hint="eastAsia" w:ascii="华文仿宋" w:hAnsi="华文仿宋" w:eastAsia="华文仿宋" w:cs="华文仿宋"/>
          <w:snapToGrid w:val="0"/>
          <w:color w:val="000000"/>
          <w:sz w:val="28"/>
          <w:szCs w:val="28"/>
        </w:rPr>
      </w:pP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sz w:val="28"/>
          <w:szCs w:val="28"/>
          <w:u w:val="single"/>
          <w:lang w:val="en-US" w:eastAsia="zh-CN"/>
        </w:rPr>
      </w:pPr>
      <w:r>
        <w:rPr>
          <w:rFonts w:hint="eastAsia" w:ascii="华文仿宋" w:hAnsi="华文仿宋" w:eastAsia="华文仿宋" w:cs="华文仿宋"/>
          <w:snapToGrid w:val="0"/>
          <w:color w:val="000000"/>
          <w:sz w:val="28"/>
          <w:szCs w:val="28"/>
        </w:rPr>
        <w:t xml:space="preserve">所属集团（如有的话）： </w:t>
      </w:r>
      <w:r>
        <w:rPr>
          <w:rFonts w:hint="eastAsia" w:ascii="华文仿宋" w:hAnsi="华文仿宋" w:eastAsia="华文仿宋" w:cs="华文仿宋"/>
          <w:snapToGrid w:val="0"/>
          <w:color w:val="000000"/>
          <w:sz w:val="28"/>
          <w:szCs w:val="28"/>
          <w:u w:val="single"/>
        </w:rPr>
        <w:t xml:space="preserve">           </w:t>
      </w:r>
      <w:r>
        <w:rPr>
          <w:rFonts w:hint="eastAsia" w:ascii="华文仿宋" w:hAnsi="华文仿宋" w:eastAsia="华文仿宋" w:cs="华文仿宋"/>
          <w:snapToGrid w:val="0"/>
          <w:color w:val="000000"/>
          <w:sz w:val="28"/>
          <w:szCs w:val="28"/>
          <w:u w:val="single"/>
          <w:lang w:val="en-US" w:eastAsia="zh-CN"/>
        </w:rPr>
        <w:t xml:space="preserve">         </w:t>
      </w:r>
    </w:p>
    <w:p>
      <w:pPr>
        <w:pStyle w:val="20"/>
        <w:numPr>
          <w:ilvl w:val="0"/>
          <w:numId w:val="21"/>
        </w:numPr>
        <w:adjustRightInd w:val="0"/>
        <w:ind w:left="0" w:leftChars="0" w:firstLine="0" w:firstLineChars="0"/>
        <w:rPr>
          <w:rFonts w:hint="eastAsia" w:ascii="华文仿宋" w:hAnsi="华文仿宋" w:eastAsia="华文仿宋" w:cs="华文仿宋"/>
          <w:snapToGrid w:val="0"/>
          <w:color w:val="000000"/>
          <w:kern w:val="2"/>
          <w:sz w:val="28"/>
          <w:szCs w:val="28"/>
          <w:lang w:val="en-US" w:eastAsia="zh-CN" w:bidi="ar-SA"/>
        </w:rPr>
      </w:pPr>
      <w:r>
        <w:rPr>
          <w:rFonts w:hint="eastAsia" w:ascii="华文仿宋" w:hAnsi="华文仿宋" w:eastAsia="华文仿宋" w:cs="华文仿宋"/>
          <w:snapToGrid w:val="0"/>
          <w:color w:val="000000"/>
          <w:sz w:val="28"/>
          <w:szCs w:val="28"/>
          <w:lang w:val="en-US" w:eastAsia="zh-CN"/>
        </w:rPr>
        <w:t xml:space="preserve">其它情况（组织、机构、技术力量、参与本产品的实施人员情况等）  </w:t>
      </w:r>
      <w:r>
        <w:rPr>
          <w:rFonts w:hint="eastAsia" w:ascii="华文仿宋" w:hAnsi="华文仿宋" w:eastAsia="华文仿宋" w:cs="华文仿宋"/>
          <w:snapToGrid w:val="0"/>
          <w:color w:val="000000"/>
          <w:kern w:val="2"/>
          <w:sz w:val="28"/>
          <w:szCs w:val="28"/>
          <w:lang w:val="en-US" w:eastAsia="zh-CN" w:bidi="ar-SA"/>
        </w:rPr>
        <w:t xml:space="preserve"> </w:t>
      </w:r>
    </w:p>
    <w:p>
      <w:pPr>
        <w:pStyle w:val="20"/>
        <w:numPr>
          <w:ilvl w:val="0"/>
          <w:numId w:val="0"/>
        </w:numPr>
        <w:adjustRightInd w:val="0"/>
        <w:ind w:leftChars="-166"/>
        <w:rPr>
          <w:rFonts w:hint="eastAsia" w:ascii="华文仿宋" w:hAnsi="华文仿宋" w:eastAsia="华文仿宋" w:cs="华文仿宋"/>
          <w:snapToGrid w:val="0"/>
          <w:color w:val="000000"/>
          <w:kern w:val="2"/>
          <w:sz w:val="28"/>
          <w:szCs w:val="28"/>
          <w:lang w:val="en-US" w:eastAsia="zh-CN" w:bidi="ar-SA"/>
        </w:rPr>
      </w:pPr>
    </w:p>
    <w:p>
      <w:pPr>
        <w:pStyle w:val="20"/>
        <w:widowControl w:val="0"/>
        <w:numPr>
          <w:ilvl w:val="0"/>
          <w:numId w:val="0"/>
        </w:numPr>
        <w:adjustRightInd w:val="0"/>
        <w:jc w:val="both"/>
        <w:rPr>
          <w:rFonts w:hint="eastAsia" w:ascii="华文仿宋" w:hAnsi="华文仿宋" w:eastAsia="华文仿宋" w:cs="华文仿宋"/>
          <w:snapToGrid w:val="0"/>
          <w:color w:val="000000"/>
          <w:kern w:val="2"/>
          <w:sz w:val="28"/>
          <w:szCs w:val="28"/>
          <w:lang w:val="en-US" w:eastAsia="zh-CN" w:bidi="ar-SA"/>
        </w:rPr>
      </w:pPr>
    </w:p>
    <w:p>
      <w:pPr>
        <w:pStyle w:val="2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both"/>
        <w:textAlignment w:val="auto"/>
        <w:outlineLvl w:val="1"/>
        <w:rPr>
          <w:rFonts w:hint="eastAsia" w:ascii="宋体" w:hAnsi="宋体" w:eastAsia="宋体"/>
          <w:b w:val="0"/>
          <w:sz w:val="28"/>
          <w:szCs w:val="28"/>
        </w:rPr>
      </w:pPr>
      <w:r>
        <w:rPr>
          <w:rFonts w:hint="eastAsia" w:ascii="华文仿宋" w:hAnsi="华文仿宋" w:eastAsia="华文仿宋" w:cs="华文仿宋"/>
          <w:snapToGrid w:val="0"/>
          <w:color w:val="000000"/>
          <w:kern w:val="2"/>
          <w:sz w:val="28"/>
          <w:szCs w:val="28"/>
          <w:lang w:val="en-US" w:eastAsia="zh-CN" w:bidi="ar-SA"/>
        </w:rPr>
        <w:br w:type="page"/>
      </w:r>
      <w:r>
        <w:rPr>
          <w:rFonts w:hint="eastAsia" w:ascii="仿宋" w:hAnsi="仿宋" w:eastAsia="仿宋" w:cs="仿宋"/>
          <w:b w:val="0"/>
          <w:snapToGrid w:val="0"/>
          <w:color w:val="000000"/>
          <w:kern w:val="2"/>
          <w:sz w:val="28"/>
          <w:szCs w:val="28"/>
          <w:lang w:val="en-US" w:eastAsia="zh-CN" w:bidi="ar-SA"/>
        </w:rPr>
        <w:t>附件5：外包服务供应商风险信息表</w:t>
      </w:r>
    </w:p>
    <w:p>
      <w:pPr>
        <w:jc w:val="center"/>
        <w:rPr>
          <w:rFonts w:hint="eastAsia" w:ascii="仿宋" w:hAnsi="仿宋" w:eastAsia="仿宋" w:cs="仿宋"/>
          <w:b/>
          <w:snapToGrid w:val="0"/>
          <w:color w:val="000000"/>
          <w:sz w:val="32"/>
          <w:szCs w:val="32"/>
        </w:rPr>
      </w:pPr>
      <w:r>
        <w:rPr>
          <w:rFonts w:hint="eastAsia" w:ascii="仿宋" w:hAnsi="仿宋" w:eastAsia="仿宋" w:cs="仿宋"/>
          <w:b/>
          <w:snapToGrid w:val="0"/>
          <w:color w:val="000000"/>
          <w:sz w:val="32"/>
          <w:szCs w:val="32"/>
        </w:rPr>
        <w:t>外包服务供应商风险信息表</w:t>
      </w:r>
    </w:p>
    <w:tbl>
      <w:tblPr>
        <w:tblStyle w:val="32"/>
        <w:tblW w:w="8331"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服务供应商名称</w:t>
            </w:r>
          </w:p>
        </w:tc>
        <w:tc>
          <w:tcPr>
            <w:tcW w:w="5880" w:type="dxa"/>
            <w:vAlign w:val="center"/>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trPr>
        <w:tc>
          <w:tcPr>
            <w:tcW w:w="8331" w:type="dxa"/>
            <w:gridSpan w:val="2"/>
            <w:vAlign w:val="center"/>
          </w:tcPr>
          <w:p>
            <w:pPr>
              <w:spacing w:line="320" w:lineRule="exact"/>
              <w:jc w:val="left"/>
              <w:rPr>
                <w:rFonts w:hint="eastAsia" w:ascii="仿宋" w:hAnsi="仿宋" w:eastAsia="仿宋" w:cs="仿宋"/>
                <w:sz w:val="24"/>
                <w:szCs w:val="24"/>
              </w:rPr>
            </w:pPr>
            <w:r>
              <w:rPr>
                <w:rFonts w:hint="eastAsia" w:ascii="仿宋" w:hAnsi="仿宋" w:eastAsia="仿宋" w:cs="仿宋"/>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trPr>
        <w:tc>
          <w:tcPr>
            <w:tcW w:w="2451" w:type="dxa"/>
            <w:vAlign w:val="center"/>
          </w:tcPr>
          <w:p>
            <w:pPr>
              <w:spacing w:line="320" w:lineRule="exact"/>
              <w:jc w:val="left"/>
              <w:rPr>
                <w:rFonts w:hint="eastAsia" w:ascii="仿宋" w:hAnsi="仿宋" w:eastAsia="仿宋" w:cs="仿宋"/>
                <w:sz w:val="24"/>
                <w:szCs w:val="24"/>
              </w:rPr>
            </w:pPr>
            <w:r>
              <w:rPr>
                <w:rFonts w:hint="eastAsia" w:ascii="仿宋" w:hAnsi="仿宋" w:eastAsia="仿宋" w:cs="仿宋"/>
                <w:sz w:val="24"/>
                <w:szCs w:val="24"/>
              </w:rPr>
              <w:t>1.服务供应商成立时间及其发展历程</w:t>
            </w:r>
          </w:p>
        </w:tc>
        <w:tc>
          <w:tcPr>
            <w:tcW w:w="5880" w:type="dxa"/>
            <w:vAlign w:val="top"/>
          </w:tcPr>
          <w:p>
            <w:pPr>
              <w:spacing w:line="320" w:lineRule="exact"/>
              <w:jc w:val="lef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2.服务供应商的主要股东</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3.服务供应商的主要经营范围</w:t>
            </w:r>
          </w:p>
        </w:tc>
        <w:tc>
          <w:tcPr>
            <w:tcW w:w="5880" w:type="dxa"/>
            <w:shd w:val="clear" w:color="auto" w:fill="FFFFFF"/>
            <w:vAlign w:val="top"/>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4.服务供应商的企业性质（内资企业/港澳台商投资企业/外商投资企业/境外企业）</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5.服务供应商近三年资产规模、主要收入、盈利状况</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6.服务供应商目前员工人数、人员学历结构</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7.列举</w:t>
            </w:r>
            <w:r>
              <w:rPr>
                <w:rFonts w:hint="eastAsia" w:ascii="仿宋" w:hAnsi="仿宋" w:eastAsia="仿宋" w:cs="仿宋"/>
                <w:sz w:val="24"/>
                <w:szCs w:val="24"/>
              </w:rPr>
              <w:t>同业提供类似性质和规模的服务经验</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8.列举</w:t>
            </w:r>
            <w:r>
              <w:rPr>
                <w:rFonts w:hint="eastAsia" w:ascii="仿宋" w:hAnsi="仿宋" w:eastAsia="仿宋" w:cs="仿宋"/>
                <w:sz w:val="24"/>
                <w:szCs w:val="24"/>
              </w:rPr>
              <w:t>在最近三年的经营活动中违法违纪等不良记录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5880"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　</w:t>
            </w:r>
          </w:p>
          <w:p>
            <w:pPr>
              <w:spacing w:line="320" w:lineRule="exact"/>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trPr>
        <w:tc>
          <w:tcPr>
            <w:tcW w:w="2451" w:type="dxa"/>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9.提供</w:t>
            </w:r>
            <w:r>
              <w:rPr>
                <w:rFonts w:hint="eastAsia" w:ascii="仿宋" w:hAnsi="仿宋" w:eastAsia="仿宋" w:cs="仿宋"/>
                <w:sz w:val="24"/>
                <w:szCs w:val="24"/>
              </w:rPr>
              <w:t>服务供应商业务连续性安排和应急预案</w:t>
            </w:r>
          </w:p>
        </w:tc>
        <w:tc>
          <w:tcPr>
            <w:tcW w:w="5880" w:type="dxa"/>
            <w:vAlign w:val="center"/>
          </w:tcPr>
          <w:p>
            <w:pPr>
              <w:spacing w:line="320" w:lineRule="exact"/>
              <w:rPr>
                <w:rFonts w:hint="eastAsia" w:ascii="仿宋" w:hAnsi="仿宋" w:eastAsia="仿宋" w:cs="仿宋"/>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restart"/>
            <w:vAlign w:val="top"/>
          </w:tcPr>
          <w:p>
            <w:pPr>
              <w:spacing w:line="32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lang w:val="en-US" w:eastAsia="zh-CN"/>
              </w:rPr>
              <w:t>服务供应商</w:t>
            </w:r>
            <w:r>
              <w:rPr>
                <w:rFonts w:hint="eastAsia" w:ascii="仿宋" w:hAnsi="仿宋" w:eastAsia="仿宋" w:cs="仿宋"/>
                <w:sz w:val="24"/>
                <w:szCs w:val="24"/>
                <w:lang w:eastAsia="zh-CN"/>
              </w:rPr>
              <w:t>（盖章）：</w:t>
            </w:r>
            <w:r>
              <w:rPr>
                <w:rFonts w:hint="eastAsia" w:ascii="仿宋" w:hAnsi="仿宋" w:eastAsia="仿宋" w:cs="仿宋"/>
                <w:sz w:val="24"/>
                <w:szCs w:val="24"/>
              </w:rPr>
              <w:t xml:space="preserve">                                </w:t>
            </w: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p>
          <w:p>
            <w:pPr>
              <w:spacing w:line="32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eastAsia="zh-CN"/>
              </w:rPr>
              <w:t>：</w:t>
            </w:r>
            <w:r>
              <w:rPr>
                <w:rFonts w:hint="eastAsia" w:ascii="仿宋" w:hAnsi="仿宋" w:eastAsia="仿宋" w:cs="仿宋"/>
                <w:sz w:val="24"/>
                <w:szCs w:val="24"/>
              </w:rPr>
              <w:br w:type="textWrapping"/>
            </w:r>
            <w:r>
              <w:rPr>
                <w:rFonts w:hint="eastAsia" w:ascii="仿宋" w:hAnsi="仿宋" w:eastAsia="仿宋" w:cs="仿宋"/>
                <w:sz w:val="24"/>
                <w:szCs w:val="24"/>
              </w:rPr>
              <w:br w:type="textWrapping"/>
            </w:r>
            <w:r>
              <w:rPr>
                <w:rFonts w:hint="eastAsia" w:ascii="仿宋" w:hAnsi="仿宋" w:eastAsia="仿宋" w:cs="仿宋"/>
                <w:sz w:val="24"/>
                <w:szCs w:val="24"/>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4940" w:hRule="atLeast"/>
        </w:trPr>
        <w:tc>
          <w:tcPr>
            <w:tcW w:w="8331" w:type="dxa"/>
            <w:gridSpan w:val="2"/>
            <w:vMerge w:val="continue"/>
            <w:vAlign w:val="center"/>
          </w:tcPr>
          <w:p>
            <w:pPr>
              <w:spacing w:line="320" w:lineRule="exact"/>
              <w:rPr>
                <w:rFonts w:hint="eastAsia" w:ascii="宋体" w:hAnsi="宋体" w:eastAsia="宋体" w:cs="宋体"/>
                <w:sz w:val="24"/>
                <w:szCs w:val="24"/>
              </w:rPr>
            </w:pPr>
          </w:p>
        </w:tc>
      </w:tr>
    </w:tbl>
    <w:p>
      <w:pPr>
        <w:rPr>
          <w:rFonts w:ascii="宋体" w:hAnsi="宋体"/>
          <w:sz w:val="28"/>
          <w:szCs w:val="28"/>
        </w:rPr>
      </w:pPr>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预估实施周期：7月0天（按工作日测算）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需求阶段：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设计阶段：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4</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4</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30</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华文仿宋" w:hAnsi="华文仿宋" w:eastAsia="华文仿宋" w:cs="华文仿宋"/>
          <w:sz w:val="24"/>
          <w:szCs w:val="24"/>
          <w:lang w:val="en-US" w:eastAsia="zh-CN"/>
        </w:rPr>
        <w:t>开发阶段：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5</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7</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snapToGrid w:val="0"/>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华文仿宋" w:hAnsi="华文仿宋" w:eastAsia="华文仿宋" w:cs="华文仿宋"/>
          <w:sz w:val="24"/>
          <w:szCs w:val="24"/>
          <w:lang w:val="en-US" w:eastAsia="zh-CN"/>
        </w:rPr>
        <w:t>测试阶段：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8</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8</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31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华文仿宋" w:hAnsi="华文仿宋" w:eastAsia="华文仿宋" w:cs="华文仿宋"/>
          <w:sz w:val="24"/>
          <w:szCs w:val="24"/>
          <w:lang w:val="en-US" w:eastAsia="zh-CN"/>
        </w:rPr>
        <w:t>验收阶段：</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9</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r>
        <w:rPr>
          <w:rFonts w:hint="eastAsia" w:ascii="仿宋" w:hAnsi="仿宋" w:eastAsia="仿宋" w:cs="仿宋"/>
          <w:bCs/>
          <w:snapToGrid w:val="0"/>
          <w:sz w:val="24"/>
          <w:szCs w:val="24"/>
        </w:rPr>
        <w:tab/>
      </w:r>
      <w:r>
        <w:rPr>
          <w:rFonts w:hint="eastAsia" w:ascii="仿宋" w:hAnsi="仿宋" w:eastAsia="仿宋" w:cs="仿宋"/>
          <w:bCs/>
          <w:snapToGrid w:val="0"/>
          <w:sz w:val="24"/>
          <w:szCs w:val="24"/>
          <w:lang w:eastAsia="zh-CN"/>
        </w:rPr>
        <w:t>至</w:t>
      </w:r>
      <w:r>
        <w:rPr>
          <w:rFonts w:hint="eastAsia" w:ascii="仿宋" w:hAnsi="仿宋" w:eastAsia="仿宋" w:cs="仿宋"/>
          <w:bCs/>
          <w:snapToGrid w:val="0"/>
          <w:sz w:val="24"/>
          <w:szCs w:val="24"/>
          <w:lang w:val="en-US" w:eastAsia="zh-CN"/>
        </w:rPr>
        <w:t xml:space="preserve"> </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 xml:space="preserve">2022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9</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21</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 w:hAnsi="仿宋" w:eastAsia="仿宋" w:cs="仿宋"/>
          <w:snapToGrid w:val="0"/>
          <w:color w:val="000000"/>
          <w:sz w:val="24"/>
          <w:szCs w:val="24"/>
        </w:rPr>
      </w:pPr>
      <w:r>
        <w:rPr>
          <w:rFonts w:hint="eastAsia" w:ascii="华文仿宋" w:hAnsi="华文仿宋" w:eastAsia="华文仿宋" w:cs="华文仿宋"/>
          <w:sz w:val="24"/>
          <w:szCs w:val="24"/>
          <w:lang w:val="en-US" w:eastAsia="zh-CN"/>
        </w:rPr>
        <w:t>项目上线：</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2022</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年</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9</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月</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highlight w:val="yellow"/>
          <w:u w:val="single"/>
          <w:lang w:val="en-US" w:eastAsia="zh-CN"/>
        </w:rPr>
        <w:t>29</w:t>
      </w:r>
      <w:r>
        <w:rPr>
          <w:rFonts w:hint="eastAsia" w:ascii="仿宋" w:hAnsi="仿宋" w:eastAsia="仿宋" w:cs="仿宋"/>
          <w:snapToGrid w:val="0"/>
          <w:color w:val="000000"/>
          <w:sz w:val="24"/>
          <w:szCs w:val="24"/>
          <w:highlight w:val="yellow"/>
          <w:u w:val="single"/>
        </w:rPr>
        <w:t xml:space="preserve"> </w:t>
      </w:r>
      <w:r>
        <w:rPr>
          <w:rFonts w:hint="eastAsia" w:ascii="仿宋" w:hAnsi="仿宋" w:eastAsia="仿宋" w:cs="仿宋"/>
          <w:snapToGrid w:val="0"/>
          <w:color w:val="000000"/>
          <w:sz w:val="24"/>
          <w:szCs w:val="24"/>
        </w:rPr>
        <w:t>日</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i/>
          <w:iCs/>
          <w:sz w:val="28"/>
          <w:szCs w:val="28"/>
          <w:lang w:val="en-US" w:eastAsia="zh-CN"/>
        </w:rPr>
      </w:pPr>
      <w:r>
        <w:rPr>
          <w:rFonts w:hint="eastAsia" w:ascii="华文仿宋" w:hAnsi="华文仿宋" w:eastAsia="华文仿宋" w:cs="华文仿宋"/>
          <w:b w:val="0"/>
          <w:bCs w:val="0"/>
          <w:i/>
          <w:iCs/>
          <w:sz w:val="24"/>
          <w:szCs w:val="24"/>
          <w:highlight w:val="yellow"/>
          <w:lang w:val="en-US" w:eastAsia="zh-CN"/>
        </w:rPr>
        <w:t>（此处填写项目需求，注意文档整体格式）</w:t>
      </w:r>
    </w:p>
    <w:p>
      <w:pPr>
        <w:pStyle w:val="123"/>
        <w:keepNext w:val="0"/>
        <w:keepLines w:val="0"/>
        <w:pageBreakBefore w:val="0"/>
        <w:widowControl w:val="0"/>
        <w:kinsoku/>
        <w:wordWrap/>
        <w:overflowPunct/>
        <w:topLinePunct w:val="0"/>
        <w:autoSpaceDE/>
        <w:autoSpaceDN/>
        <w:bidi w:val="0"/>
        <w:adjustRightInd w:val="0"/>
        <w:snapToGrid w:val="0"/>
        <w:spacing w:line="360" w:lineRule="auto"/>
        <w:ind w:firstLine="453" w:firstLineChars="189"/>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通过全面预算管理系统的建设，实现预算编制及基础数据一体化，实现预算指标计算、校验及检查自动化，并实现预算数据的电子化、透明化，使预算管理信息在全行共享，使预算管理工作逐步转变为以计财为中心，全行各预算单元高度参与的全面预算管理运转体系。</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1、实现预算管理的全指标覆盖</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建立涵盖业务规模指标、财务指标、风险指标、资本指标、定价指标等一体化的综合预算指标体系，实现对全行业务的360度预算管理，全面支撑各种精细化预算管控要求。</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2、实现预算管理的全流程覆盖</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实现对预算编制、预算审批、预算下达、预算控制、预算监控、预算预测、预算调整、预算考核等的全流程管理，全面提升预算管理的有效性和执行力。</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3、实现预算管理的全维度覆盖</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建立涵盖全行、条线、事业部、支行、产品等全业务管理视角的预算管理体系，实现预算管理的全维度覆盖。</w:t>
      </w:r>
    </w:p>
    <w:p>
      <w:pPr>
        <w:keepNext w:val="0"/>
        <w:keepLines w:val="0"/>
        <w:pageBreakBefore w:val="0"/>
        <w:widowControl w:val="0"/>
        <w:numPr>
          <w:ilvl w:val="0"/>
          <w:numId w:val="24"/>
        </w:numPr>
        <w:kinsoku/>
        <w:wordWrap/>
        <w:overflowPunct/>
        <w:topLinePunct w:val="0"/>
        <w:autoSpaceDE/>
        <w:autoSpaceDN/>
        <w:bidi w:val="0"/>
        <w:adjustRightInd w:val="0"/>
        <w:snapToGrid w:val="0"/>
        <w:spacing w:before="156" w:line="360" w:lineRule="auto"/>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非功能需求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1、报表开发使用行内现有工具FineBi、FineReport（不使用需说明原因）。</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2、对于数据交互原则：</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20" w:firstLineChars="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2.1、涉及少量数据交互，并且有一定时效性要求：采用接口查询模式；</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20" w:firstLineChars="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2.2、涉及数据库表级数据的交互，且时效性要求较高：采用数据库触发器、CDC模式；</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20" w:firstLineChars="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3.3、涉及大量数据且非实时性数据交互：通过大数据供数模式；</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3、所有代码必须通过我行代码质量扫描，必须通过单元案例全覆盖，单元测试案例作为代码交付物的一部分。</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4、按照我行数据标准落标，数据库实现元数据级落标，配合统计与数据应用部实现元数据管理及指标管理。</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5、涉及数据加工统计、指标类的口径处理，在行内的大数据平台应用集市上落地。</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6、项目涉及的员工、机构等相关数据信息，需对接行内人资系统、统一机构平台、统一员工中心等，源数据以行内相关系统为准，如果涉及数据、指标的加工，则在行内大数据平台落地到应用集市。</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7、项目系统所涉及的调度需接入我行统一调度平台（不接需说明原因，如自带调度等）。</w:t>
      </w:r>
    </w:p>
    <w:p>
      <w:pPr>
        <w:keepNext w:val="0"/>
        <w:keepLines w:val="0"/>
        <w:pageBreakBefore w:val="0"/>
        <w:widowControl w:val="0"/>
        <w:kinsoku/>
        <w:wordWrap/>
        <w:overflowPunct/>
        <w:topLinePunct w:val="0"/>
        <w:autoSpaceDE/>
        <w:autoSpaceDN/>
        <w:bidi w:val="0"/>
        <w:adjustRightInd w:val="0"/>
        <w:snapToGrid w:val="0"/>
        <w:spacing w:before="156" w:line="360" w:lineRule="auto"/>
        <w:ind w:firstLine="480" w:firstLineChars="200"/>
        <w:textAlignment w:val="auto"/>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r>
        <w:rPr>
          <w:rFonts w:hint="default" w:ascii="仿宋" w:hAnsi="仿宋" w:eastAsia="仿宋" w:cs="仿宋"/>
          <w:kern w:val="2"/>
          <w:sz w:val="24"/>
          <w:szCs w:val="24"/>
          <w:lang w:val="en-US" w:eastAsia="zh-CN" w:bidi="ar-SA"/>
        </w:rPr>
        <w:t xml:space="preserve"> </w:t>
      </w:r>
      <w:r>
        <w:rPr>
          <w:rFonts w:hint="eastAsia" w:ascii="仿宋" w:hAnsi="仿宋" w:eastAsia="仿宋" w:cs="仿宋"/>
          <w:kern w:val="2"/>
          <w:sz w:val="24"/>
          <w:szCs w:val="24"/>
          <w:lang w:val="en-US" w:eastAsia="zh-CN" w:bidi="ar-SA"/>
        </w:rPr>
        <w:t>项目系统建设需遵循我行以下规范：</w:t>
      </w:r>
      <w:r>
        <w:rPr>
          <w:rFonts w:hint="default" w:ascii="仿宋" w:hAnsi="仿宋" w:eastAsia="仿宋" w:cs="仿宋"/>
          <w:kern w:val="2"/>
          <w:sz w:val="24"/>
          <w:szCs w:val="24"/>
          <w:lang w:val="en-US" w:eastAsia="zh-CN" w:bidi="ar-SA"/>
        </w:rPr>
        <w:t>编号规范（流水号、系统号、渠道号、虚拟柜员号）</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 xml:space="preserve">错误码规范 </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业务处理规范</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文件传输规范</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遵循日志规范</w:t>
      </w:r>
      <w:r>
        <w:rPr>
          <w:rFonts w:hint="eastAsia" w:ascii="仿宋" w:hAnsi="仿宋" w:eastAsia="仿宋" w:cs="仿宋"/>
          <w:kern w:val="2"/>
          <w:sz w:val="24"/>
          <w:szCs w:val="24"/>
          <w:lang w:val="en-US" w:eastAsia="zh-CN" w:bidi="ar-SA"/>
        </w:rPr>
        <w:t>、</w:t>
      </w:r>
      <w:r>
        <w:rPr>
          <w:rFonts w:hint="default" w:ascii="仿宋" w:hAnsi="仿宋" w:eastAsia="仿宋" w:cs="仿宋"/>
          <w:kern w:val="2"/>
          <w:sz w:val="24"/>
          <w:szCs w:val="24"/>
          <w:lang w:val="en-US" w:eastAsia="zh-CN" w:bidi="ar-SA"/>
        </w:rPr>
        <w:t>参数管理规范</w:t>
      </w:r>
      <w:r>
        <w:rPr>
          <w:rFonts w:hint="eastAsia" w:ascii="仿宋" w:hAnsi="仿宋" w:eastAsia="仿宋" w:cs="仿宋"/>
          <w:kern w:val="2"/>
          <w:sz w:val="24"/>
          <w:szCs w:val="24"/>
          <w:lang w:val="en-US" w:eastAsia="zh-CN" w:bidi="ar-SA"/>
        </w:rPr>
        <w:t>。</w:t>
      </w:r>
    </w:p>
    <w:p>
      <w:pPr>
        <w:keepNext w:val="0"/>
        <w:keepLines w:val="0"/>
        <w:pageBreakBefore w:val="0"/>
        <w:widowControl w:val="0"/>
        <w:shd w:val="clear" w:fill="FFFF0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9、考虑到我行正在进行新核心项目建设，本项目系统建设需充分考虑影响性。</w:t>
      </w:r>
    </w:p>
    <w:p>
      <w:pPr>
        <w:keepNext w:val="0"/>
        <w:keepLines w:val="0"/>
        <w:pageBreakBefore w:val="0"/>
        <w:widowControl w:val="0"/>
        <w:shd w:val="clear" w:fill="FFFF00"/>
        <w:kinsoku/>
        <w:wordWrap/>
        <w:overflowPunct/>
        <w:topLinePunct w:val="0"/>
        <w:autoSpaceDE/>
        <w:autoSpaceDN/>
        <w:bidi w:val="0"/>
        <w:adjustRightInd w:val="0"/>
        <w:snapToGrid w:val="0"/>
        <w:spacing w:before="156" w:line="360" w:lineRule="auto"/>
        <w:ind w:firstLine="480" w:firstLineChars="200"/>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10、本项目系统建设</w:t>
      </w:r>
      <w:r>
        <w:rPr>
          <w:rFonts w:hint="eastAsia" w:ascii="仿宋" w:hAnsi="仿宋" w:eastAsia="仿宋" w:cs="仿宋"/>
          <w:sz w:val="24"/>
          <w:szCs w:val="24"/>
          <w:highlight w:val="yellow"/>
          <w:lang w:val="en-US" w:eastAsia="zh-CN"/>
        </w:rPr>
        <w:t>应提供多法人解决方案，包括但不限于常熟农商银行、兴福系投资管理行及村镇银行等多法人模式。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二、功能需求</w:t>
      </w:r>
    </w:p>
    <w:p>
      <w:pPr>
        <w:pStyle w:val="123"/>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24"/>
          <w:szCs w:val="24"/>
        </w:rPr>
      </w:pPr>
      <w:r>
        <w:rPr>
          <w:rFonts w:hint="eastAsia" w:ascii="仿宋" w:hAnsi="仿宋" w:eastAsia="仿宋" w:cs="仿宋"/>
          <w:sz w:val="24"/>
          <w:szCs w:val="24"/>
        </w:rPr>
        <w:t>（一）</w:t>
      </w:r>
      <w:r>
        <w:rPr>
          <w:rFonts w:hint="eastAsia" w:ascii="仿宋" w:hAnsi="仿宋" w:eastAsia="仿宋" w:cs="仿宋"/>
          <w:kern w:val="2"/>
          <w:sz w:val="24"/>
          <w:szCs w:val="24"/>
          <w:lang w:val="en-US" w:eastAsia="zh-CN" w:bidi="ar-SA"/>
        </w:rPr>
        <w:t>总体要求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建立健全预算组织架构和全流程管理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成立预算管理委员会，构建其领导下的多层级预算管理组织，明确各部门在预算编制流程中的角色和责任，各条线全面参与</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r>
        <w:rPr>
          <w:rFonts w:hint="eastAsia" w:ascii="仿宋" w:hAnsi="仿宋" w:eastAsia="仿宋" w:cs="仿宋"/>
          <w:sz w:val="24"/>
          <w:szCs w:val="24"/>
        </w:rPr>
        <w:t>预算系统成为管理层与预算编制部门、总行与分行沟通的大平台，达到信息透明、沟通快速，提升工作效率</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r>
        <w:rPr>
          <w:rFonts w:hint="eastAsia" w:ascii="仿宋" w:hAnsi="仿宋" w:eastAsia="仿宋" w:cs="仿宋"/>
          <w:sz w:val="24"/>
          <w:szCs w:val="24"/>
        </w:rPr>
        <w:t>实现全流程管理。建立涵盖预算编制、分解、下达、监测、调整、审批、考核等全流程的预算管理系统</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实现预算编制的自动化、全面化、弹性化、精细化、集团化管理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rPr>
        <w:t>生成基础目标方案。结合公司战略经营计划，生成净利润、资本、EVA、RAROC等总体经营目标，为预算具体编制制定总体方案</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数据处理自动化。通过系统实现预算基础数据自动收集、数据处理、预算分解、预算下达、预算分析等工作，支持由上而下及自下而上的预算编制及分解过程</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2.3、</w:t>
      </w:r>
      <w:r>
        <w:rPr>
          <w:rFonts w:hint="eastAsia" w:ascii="仿宋" w:hAnsi="仿宋" w:eastAsia="仿宋" w:cs="仿宋"/>
          <w:sz w:val="24"/>
          <w:szCs w:val="24"/>
        </w:rPr>
        <w:t>支持多场景预算。实现“利润目标测算—预算编制—预算分解”的循环体系，最终达成资本配置、利率定价、成本、风险管理的合适方案，支持财务报表、EVA、资本充足率等多维度多场景测算成果</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2.4、</w:t>
      </w:r>
      <w:r>
        <w:rPr>
          <w:rFonts w:hint="eastAsia" w:ascii="仿宋" w:hAnsi="仿宋" w:eastAsia="仿宋" w:cs="仿宋"/>
          <w:sz w:val="24"/>
          <w:szCs w:val="24"/>
        </w:rPr>
        <w:t>支持滚动预测。基于存量业务与发展计划，并统筹考虑货币政策调整、利率市场化等因素，实现不定期动态滚动预算，并根据实际需要进行预算调整。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2.5、</w:t>
      </w:r>
      <w:r>
        <w:rPr>
          <w:rFonts w:hint="eastAsia" w:ascii="仿宋" w:hAnsi="仿宋" w:eastAsia="仿宋" w:cs="仿宋"/>
          <w:sz w:val="24"/>
          <w:szCs w:val="24"/>
        </w:rPr>
        <w:t>支持多维度多层级全员参与管理。基于存量数据的归属关系和综合经营计划分解方案，编制“分机构、分产品、分条线”、“总行、部门、中心支行/异地分行、直属支行”的预算体系</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2.6、</w:t>
      </w:r>
      <w:r>
        <w:rPr>
          <w:rFonts w:hint="eastAsia" w:ascii="仿宋" w:hAnsi="仿宋" w:eastAsia="仿宋" w:cs="仿宋"/>
          <w:sz w:val="24"/>
          <w:szCs w:val="24"/>
        </w:rPr>
        <w:t>实现集团化的预算管理。满足子公司数据采集、合并抵消预算管理，生成母公司、子公司、合并抵消、合并金额等集团报表数据。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2.7、</w:t>
      </w:r>
      <w:r>
        <w:rPr>
          <w:rFonts w:hint="eastAsia" w:ascii="仿宋" w:hAnsi="仿宋" w:eastAsia="仿宋" w:cs="仿宋"/>
          <w:sz w:val="24"/>
          <w:szCs w:val="24"/>
        </w:rPr>
        <w:t>实现行内系统接口取数。实现与资产负债管理、管理会计系统、财务系统、核心数据仓库等的无缝对接，实现数据采集、数据预测导入等功能。</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建立多维度预算分解体系</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对接FTP系统，选择合适的内部定价利率将不同场景下的会计财务报表转换成管理会计报表，对不同的预算项目支持不同层级、不同方法的分解下达方式（支持分行/中心支行上浮分解）。在预算调整的情形下，生成不同版本的预算分解模版及差异分析，支持不同情形下的预算分解统计查询功能。</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建立动态预算监控与分析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实现与行内系统对接，实时监控经营指标、费用运行及使用情况，形成机构、条线、产品、客户等多维预算执行情况比较分析，实施灵活的预算控制方式，对关键指标进行预警提示，展示业务量、定价、成本等因素对预算偏离度的影响，督促指导各级经营单位采取应对措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预算考核</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将各类指标的预算执行情况根据考核需要定期生成自定义报表作为考核依据。</w:t>
      </w:r>
    </w:p>
    <w:p>
      <w:pPr>
        <w:pStyle w:val="123"/>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eastAsia="zh-CN"/>
        </w:rPr>
        <w:t>（二）</w:t>
      </w:r>
      <w:r>
        <w:rPr>
          <w:rFonts w:hint="eastAsia" w:ascii="仿宋" w:hAnsi="仿宋" w:eastAsia="仿宋" w:cs="仿宋"/>
          <w:sz w:val="24"/>
          <w:szCs w:val="24"/>
        </w:rPr>
        <w:t>功能</w:t>
      </w:r>
      <w:r>
        <w:rPr>
          <w:rFonts w:hint="eastAsia" w:ascii="仿宋" w:hAnsi="仿宋" w:eastAsia="仿宋" w:cs="仿宋"/>
          <w:sz w:val="24"/>
          <w:szCs w:val="24"/>
          <w:lang w:eastAsia="zh-CN"/>
        </w:rPr>
        <w:t>概述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预算权限及审批管理：通过角色设置、权限设定分配，实现不同管理流程、不同层级的权限设置及角色分配，建立多层级多维度的权限设置及审批机制</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经营计划管理：综合内外部因素，在经营战略目标基础上，进行多维度、多场景的经营目标的测算，供管理层参考，为预算的具体编制提供框架限制</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预算编制：与行内系统进行接口取数，建立多场景自上而下及自下而上的资本预算、业务预算、财务预算三者相互交融的预算编制体系，汇总全行预算不满足经营目标时提供差异情况、数据分析及优先调整建议，支持多场景、多维度、不同周期的滚动预算职能，提供灵活的预算套表格式设置，设置多层级的审批流程，生成一套多场景的覆盖业务、财务、资本、资产负债表、损益表等满足全面预算编制的综合要求</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预算分解：支持多维度不同财务及管会口径的预算分解，支持多层级的预算分解，支持不同分解指标的不同分解方式，支持分行/中心支行提高预算分解目标以确保机构实现经营目标的情形</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预算控制：支持刚性控制、弹性控制、提醒、不控制等多种控制手段，对不同明细事项灵活配置不同的控制规则，并与财务系统进行接口对接，经营类指标通过阀值进行预警，进行 T+1 分析报告，发现异常及时报警</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预算分析：对各级行、各部门的经营管理活动进行及时的反馈、监控和分析，建立综合经营计划执行情况的报表反馈与分析报告制度。按月实现准确的不同维度的预算执行情况分析，出具不同维度的预算执行情况分析报表，对异常情况进行差异报告</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预算调整：支持按月、按季等不同频率区间的资本预算、业务预算、财务预算的滚动预算职能，预测不同假设条件下的资本、业务及财务状况，支持不同情况下的预算调整审批流程。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预算考核：支持不定期的不同维度不同指标的预算执行情况分析，为预算考核提供支撑。</w:t>
      </w:r>
    </w:p>
    <w:p>
      <w:pPr>
        <w:pStyle w:val="123"/>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（三）</w:t>
      </w:r>
      <w:r>
        <w:rPr>
          <w:rFonts w:hint="eastAsia" w:ascii="仿宋" w:hAnsi="仿宋" w:eastAsia="仿宋" w:cs="仿宋"/>
          <w:sz w:val="24"/>
          <w:szCs w:val="24"/>
        </w:rPr>
        <w:t>功能</w:t>
      </w:r>
      <w:r>
        <w:rPr>
          <w:rFonts w:hint="eastAsia" w:ascii="仿宋" w:hAnsi="仿宋" w:eastAsia="仿宋" w:cs="仿宋"/>
          <w:sz w:val="24"/>
          <w:szCs w:val="24"/>
          <w:lang w:eastAsia="zh-CN"/>
        </w:rPr>
        <w:t>需求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1、权限管理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eastAsia="zh-CN"/>
        </w:rPr>
        <w:t>、</w:t>
      </w:r>
      <w:r>
        <w:rPr>
          <w:rFonts w:hint="eastAsia" w:ascii="仿宋" w:hAnsi="仿宋" w:eastAsia="仿宋" w:cs="仿宋"/>
          <w:sz w:val="24"/>
          <w:szCs w:val="24"/>
        </w:rPr>
        <w:t>角色管理。将用户根据职责分为系统管理员、预算联系人（部门财务联系人/内部主管）、机构预算负责人等角色，对于不同角色设置不同的权限。各个角色的权限可由系统管理员自主设置。提供审批工作流程，实现预算管理各个环节的流程控制和权限管理，以满足银行多层管理架构、多级审批的预算管理需要。对于违反预算工作流程的操作，系统应自动提醒、控制并提供监督报告。提供预算编制、控制过程中各类规则、流程的灵活配置功能，支持模型计算规则可视化。具体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1.1.1、</w:t>
      </w:r>
      <w:r>
        <w:rPr>
          <w:rFonts w:hint="eastAsia" w:ascii="仿宋" w:hAnsi="仿宋" w:eastAsia="仿宋" w:cs="仿宋"/>
          <w:sz w:val="24"/>
          <w:szCs w:val="24"/>
        </w:rPr>
        <w:t>设置系统管理员，具有预算单元维护、机构预算联系人维护、表单定义、全机构预算查询、预算导入、预算预测、部分预算审批等职能。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1.1.2、</w:t>
      </w:r>
      <w:r>
        <w:rPr>
          <w:rFonts w:hint="eastAsia" w:ascii="仿宋" w:hAnsi="仿宋" w:eastAsia="仿宋" w:cs="仿宋"/>
          <w:sz w:val="24"/>
          <w:szCs w:val="24"/>
        </w:rPr>
        <w:t>设置机构预算联系人，一级机构（总行部门和分行/中心支行/直属支行）为财务联系人和内部主管，负责本机构预算的编制、预算调整的申请、本机构预算查询、本机构预算预测、本机构内预算的分解操作等；对分行和中心支行各所辖支行设置预算联系人（内部主管），权限同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1.1.3、</w:t>
      </w:r>
      <w:r>
        <w:rPr>
          <w:rFonts w:hint="eastAsia" w:ascii="仿宋" w:hAnsi="仿宋" w:eastAsia="仿宋" w:cs="仿宋"/>
          <w:sz w:val="24"/>
          <w:szCs w:val="24"/>
        </w:rPr>
        <w:t>设置机构预算负责人，负责本机构预算编制的审批、预算调整的审批、本机构预算分解的审批、本机构预算查询、本机构预算预测等。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1.1.4、</w:t>
      </w:r>
      <w:r>
        <w:rPr>
          <w:rFonts w:hint="eastAsia" w:ascii="仿宋" w:hAnsi="仿宋" w:eastAsia="仿宋" w:cs="仿宋"/>
          <w:sz w:val="24"/>
          <w:szCs w:val="24"/>
        </w:rPr>
        <w:t>设置财务审批人，分别为预算管理员、计财部部门负责人、财务分管行长，预算管理员负责机构额度内预算调整部分的审批；计财部负责人负责部分额度外预算调整的审批（参照行内财务审批权限调整）、全行范围预算查询预测；财务分管行长负责部分额度外预算调整的审批、全行预算分解的审批、预算查询预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eastAsia="zh-CN"/>
        </w:rPr>
        <w:t>、</w:t>
      </w:r>
      <w:r>
        <w:rPr>
          <w:rFonts w:hint="eastAsia" w:ascii="仿宋" w:hAnsi="仿宋" w:eastAsia="仿宋" w:cs="仿宋"/>
          <w:sz w:val="24"/>
          <w:szCs w:val="24"/>
        </w:rPr>
        <w:t>用户管理。对全行的用户进行多维度管理，设置不同权限用户的基础信息，对用户的状态进行系统跟踪提示。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1.2.1、</w:t>
      </w:r>
      <w:r>
        <w:rPr>
          <w:rFonts w:hint="eastAsia" w:ascii="仿宋" w:hAnsi="仿宋" w:eastAsia="仿宋" w:cs="仿宋"/>
          <w:sz w:val="24"/>
          <w:szCs w:val="24"/>
        </w:rPr>
        <w:t>实现用户状态跟踪提示，如编制状态、审批状态，流程节点跟踪管理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1.2.2、</w:t>
      </w:r>
      <w:r>
        <w:rPr>
          <w:rFonts w:hint="eastAsia" w:ascii="仿宋" w:hAnsi="仿宋" w:eastAsia="仿宋" w:cs="仿宋"/>
          <w:sz w:val="24"/>
          <w:szCs w:val="24"/>
        </w:rPr>
        <w:t>实现对不同用户的权限设置、日常维护</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1.2.3、</w:t>
      </w:r>
      <w:r>
        <w:rPr>
          <w:rFonts w:hint="eastAsia" w:ascii="仿宋" w:hAnsi="仿宋" w:eastAsia="仿宋" w:cs="仿宋"/>
          <w:sz w:val="24"/>
          <w:szCs w:val="24"/>
        </w:rPr>
        <w:t>支持对不满足序时进度的流程予以提示</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eastAsia="zh-CN"/>
        </w:rPr>
        <w:t>、</w:t>
      </w:r>
      <w:r>
        <w:rPr>
          <w:rFonts w:hint="eastAsia" w:ascii="仿宋" w:hAnsi="仿宋" w:eastAsia="仿宋" w:cs="仿宋"/>
          <w:sz w:val="24"/>
          <w:szCs w:val="24"/>
        </w:rPr>
        <w:t>权限管理。系统通过登录用户控制及数据控制实现权限控制，通过自主设计的工作流程实现流程控制。根据管理需要设定预算岗位、业务角色，并对相应申请、审批权限，对使用、查询、授权等行为进行严格限制，用户权限可以定义到表单单元格。提供按钮权限控制，预算审批角色通过点击审批，确定测算和预算方案，实现同一机构内部、上下级机构间预算计划的调整、审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1.3.1、</w:t>
      </w:r>
      <w:r>
        <w:rPr>
          <w:rFonts w:hint="eastAsia" w:ascii="仿宋" w:hAnsi="仿宋" w:eastAsia="仿宋" w:cs="仿宋"/>
          <w:sz w:val="24"/>
          <w:szCs w:val="24"/>
        </w:rPr>
        <w:t>对于不同用户设置不同的权限</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1.3.2、</w:t>
      </w:r>
      <w:r>
        <w:rPr>
          <w:rFonts w:hint="eastAsia" w:ascii="仿宋" w:hAnsi="仿宋" w:eastAsia="仿宋" w:cs="仿宋"/>
          <w:sz w:val="24"/>
          <w:szCs w:val="24"/>
        </w:rPr>
        <w:t>实现不同层级机构不同用户权限的灵活设置。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2、经营计划管理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结合战略目标，综合各类要素，从多角度多场景进行经营目标测算，对各业务、收入成本比、拨备计提进行情景假设模拟，如：存贷款对客利率、FTP 利率、业务发展结构、业务发展额度、序时发展进度以实现银行业务模拟预测，并将模拟结果与预期总体目标进行差异比较，根据多方案的测试以及对未来目标利润及EVA等结果的预期，最终选定一套测算结果作为预算编制框架依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r>
        <w:rPr>
          <w:rFonts w:hint="eastAsia" w:ascii="仿宋" w:hAnsi="仿宋" w:eastAsia="仿宋" w:cs="仿宋"/>
          <w:sz w:val="24"/>
          <w:szCs w:val="24"/>
        </w:rPr>
        <w:t>用于确定全行的经营战略计划，以资本充足率、净利润等指标为约束进行概算，出具不同场景下的资产负债表、损益表和资本指标，以供行里确定相对合理的预算目标，为具体预算编制提供依据</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r>
        <w:rPr>
          <w:rFonts w:hint="eastAsia" w:ascii="仿宋" w:hAnsi="仿宋" w:eastAsia="仿宋" w:cs="仿宋"/>
          <w:sz w:val="24"/>
          <w:szCs w:val="24"/>
        </w:rPr>
        <w:t>存量部分对接数据仓库/资产负债管理系统，以预算编制基准日的产品级别数据作为起始数据，以经营战略计划中的主要业务指标（贷款增长、存款增长、资产增长、利润增长）为基础目标，针对结构、利率、业务发展进度等要素设置积极、稳健、保守、消极等不同场景，分别出具相应的财务报表和资本充足率等监管指标</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系统支持资本充足率的计算，其中：信用风险的风险资产权重，系统抓取资产负债管理系统中的不同产品的时点权重，系统对不同科目进行汇总，计算不同资产的综合风险权重，以此作为新增业务的风险权重配置参考；操作风险的计算由系统抓取最近三年的利息净收入和非利息净收入之和乘以15%除以3后乘以系数12.5；市场风险根据最新的结构导入系统进行资本配置，新增部分按照存量结构进行配置，并根据具体情况进行更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2.4、</w:t>
      </w:r>
      <w:r>
        <w:rPr>
          <w:rFonts w:hint="eastAsia" w:ascii="仿宋" w:hAnsi="仿宋" w:eastAsia="仿宋" w:cs="仿宋"/>
          <w:sz w:val="24"/>
          <w:szCs w:val="24"/>
        </w:rPr>
        <w:t>业务预算与资本预算相互衔接，相互勾稽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2.5、</w:t>
      </w:r>
      <w:r>
        <w:rPr>
          <w:rFonts w:hint="eastAsia" w:ascii="仿宋" w:hAnsi="仿宋" w:eastAsia="仿宋" w:cs="仿宋"/>
          <w:sz w:val="24"/>
          <w:szCs w:val="24"/>
        </w:rPr>
        <w:t>费用测算按照预计的收入成本比进行，设置一定的容忍空间作为具体预算编制的允许范围</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2.6、</w:t>
      </w:r>
      <w:r>
        <w:rPr>
          <w:rFonts w:hint="eastAsia" w:ascii="仿宋" w:hAnsi="仿宋" w:eastAsia="仿宋" w:cs="仿宋"/>
          <w:sz w:val="24"/>
          <w:szCs w:val="24"/>
        </w:rPr>
        <w:t>资产减值损失按照分类，贷款按照目标拨贷比及拨备覆盖率预测；非信贷减值损失按照增量的一定比例计提</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2.7、</w:t>
      </w:r>
      <w:r>
        <w:rPr>
          <w:rFonts w:hint="eastAsia" w:ascii="仿宋" w:hAnsi="仿宋" w:eastAsia="仿宋" w:cs="仿宋"/>
          <w:sz w:val="24"/>
          <w:szCs w:val="24"/>
        </w:rPr>
        <w:t>所得税按照综合所得税税率进行预测</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2.8、</w:t>
      </w:r>
      <w:r>
        <w:rPr>
          <w:rFonts w:hint="eastAsia" w:ascii="仿宋" w:hAnsi="仿宋" w:eastAsia="仿宋" w:cs="仿宋"/>
          <w:sz w:val="24"/>
          <w:szCs w:val="24"/>
        </w:rPr>
        <w:t>对全行关键经营指标约束或限额下沉至机构、条线，以规范、约束机构条线在进行综合预算编制时，不能突破关键经营指标的限制。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3、预算编制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构建资本预算、业务预算、财务预算相互交融的全面预算管理编制体系，三者的预算编制紧密相连，互为基础，支持不同场景不同编制方向（积极型、稳健型、保守型、消极型等）的预算编制体系，生成多维度的预算报表及EVA、RAROC、MPA指标、资本充足率等监管指标体系。</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3.1</w:t>
      </w:r>
      <w:r>
        <w:rPr>
          <w:rFonts w:hint="eastAsia" w:ascii="仿宋" w:hAnsi="仿宋" w:eastAsia="仿宋" w:cs="仿宋"/>
          <w:sz w:val="24"/>
          <w:szCs w:val="24"/>
          <w:lang w:eastAsia="zh-CN"/>
        </w:rPr>
        <w:t>、</w:t>
      </w:r>
      <w:r>
        <w:rPr>
          <w:rFonts w:hint="eastAsia" w:ascii="仿宋" w:hAnsi="仿宋" w:eastAsia="仿宋" w:cs="仿宋"/>
          <w:sz w:val="24"/>
          <w:szCs w:val="24"/>
        </w:rPr>
        <w:t>编制流程（三下两上）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3.1.1</w:t>
      </w:r>
      <w:r>
        <w:rPr>
          <w:rFonts w:hint="eastAsia" w:ascii="仿宋" w:hAnsi="仿宋" w:eastAsia="仿宋" w:cs="仿宋"/>
          <w:sz w:val="24"/>
          <w:szCs w:val="24"/>
          <w:lang w:eastAsia="zh-CN"/>
        </w:rPr>
        <w:t>、</w:t>
      </w:r>
      <w:r>
        <w:rPr>
          <w:rFonts w:hint="eastAsia" w:ascii="仿宋" w:hAnsi="仿宋" w:eastAsia="仿宋" w:cs="仿宋"/>
          <w:sz w:val="24"/>
          <w:szCs w:val="24"/>
        </w:rPr>
        <w:t>计划财务部进行预算概算，提供行领导参考，确定预算年度目标。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3.1.2</w:t>
      </w:r>
      <w:r>
        <w:rPr>
          <w:rFonts w:hint="eastAsia" w:ascii="仿宋" w:hAnsi="仿宋" w:eastAsia="仿宋" w:cs="仿宋"/>
          <w:sz w:val="24"/>
          <w:szCs w:val="24"/>
          <w:lang w:eastAsia="zh-CN"/>
        </w:rPr>
        <w:t>、</w:t>
      </w:r>
      <w:r>
        <w:rPr>
          <w:rFonts w:hint="eastAsia" w:ascii="仿宋" w:hAnsi="仿宋" w:eastAsia="仿宋" w:cs="仿宋"/>
          <w:sz w:val="24"/>
          <w:szCs w:val="24"/>
        </w:rPr>
        <w:t>计划财务部发起预算编制任务，由各机构预算编制人进行预算，编制完成后，由部门负责人（分管行领导）审批后提交计划财务部，期间计划财务部可监控各部门预算编制进度，及时发送提醒信息。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3.1.3</w:t>
      </w:r>
      <w:r>
        <w:rPr>
          <w:rFonts w:hint="eastAsia" w:ascii="仿宋" w:hAnsi="仿宋" w:eastAsia="仿宋" w:cs="仿宋"/>
          <w:sz w:val="24"/>
          <w:szCs w:val="24"/>
          <w:lang w:eastAsia="zh-CN"/>
        </w:rPr>
        <w:t>、</w:t>
      </w:r>
      <w:r>
        <w:rPr>
          <w:rFonts w:hint="eastAsia" w:ascii="仿宋" w:hAnsi="仿宋" w:eastAsia="仿宋" w:cs="仿宋"/>
          <w:sz w:val="24"/>
          <w:szCs w:val="24"/>
        </w:rPr>
        <w:t>计划财务部汇总全行预算，与年度目标进行比较，和部门进行沟通并打回部门进行调整，同时保存原始版本与修改版本。</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3.1.4</w:t>
      </w:r>
      <w:r>
        <w:rPr>
          <w:rFonts w:hint="eastAsia" w:ascii="仿宋" w:hAnsi="仿宋" w:eastAsia="仿宋" w:cs="仿宋"/>
          <w:sz w:val="24"/>
          <w:szCs w:val="24"/>
          <w:lang w:eastAsia="zh-CN"/>
        </w:rPr>
        <w:t>、</w:t>
      </w:r>
      <w:r>
        <w:rPr>
          <w:rFonts w:hint="eastAsia" w:ascii="仿宋" w:hAnsi="仿宋" w:eastAsia="仿宋" w:cs="仿宋"/>
          <w:sz w:val="24"/>
          <w:szCs w:val="24"/>
        </w:rPr>
        <w:t>部门调整完成后再次提交部门负责人（分管行领导审批后提交计划财务部，计划财务部汇总后生成全行年度预算，并提交计划财务部负责人、分管行领导审批后由行办会、董事会审议。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w:t>
      </w:r>
      <w:r>
        <w:rPr>
          <w:rFonts w:hint="eastAsia" w:ascii="仿宋" w:hAnsi="仿宋" w:eastAsia="仿宋" w:cs="仿宋"/>
          <w:sz w:val="24"/>
          <w:szCs w:val="24"/>
          <w:lang w:eastAsia="zh-CN"/>
        </w:rPr>
        <w:t>、</w:t>
      </w:r>
      <w:r>
        <w:rPr>
          <w:rFonts w:hint="eastAsia" w:ascii="仿宋" w:hAnsi="仿宋" w:eastAsia="仿宋" w:cs="仿宋"/>
          <w:sz w:val="24"/>
          <w:szCs w:val="24"/>
        </w:rPr>
        <w:t>测算设置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3.2.1</w:t>
      </w:r>
      <w:r>
        <w:rPr>
          <w:rFonts w:hint="eastAsia" w:ascii="仿宋" w:hAnsi="仿宋" w:eastAsia="仿宋" w:cs="仿宋"/>
          <w:sz w:val="24"/>
          <w:szCs w:val="24"/>
          <w:lang w:eastAsia="zh-CN"/>
        </w:rPr>
        <w:t>、</w:t>
      </w:r>
      <w:r>
        <w:rPr>
          <w:rFonts w:hint="eastAsia" w:ascii="仿宋" w:hAnsi="仿宋" w:eastAsia="仿宋" w:cs="仿宋"/>
          <w:sz w:val="24"/>
          <w:szCs w:val="24"/>
        </w:rPr>
        <w:t>基础设置。分别设置指标体系及测算表单，支持多维度多场景的测算模拟，满足差异化个性化灵活化的设置要求。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.1、</w:t>
      </w:r>
      <w:r>
        <w:rPr>
          <w:rFonts w:hint="eastAsia" w:ascii="仿宋" w:hAnsi="仿宋" w:eastAsia="仿宋" w:cs="仿宋"/>
          <w:sz w:val="24"/>
          <w:szCs w:val="24"/>
        </w:rPr>
        <w:t>业务表单，支持不同预算单元自定义多维度表单，包括机构、条线、科目、产品、存量余额，预计余额、日均、增量、进度、外部利率、内部利率、增值税税率，含税利息、增值税、不含税金额等要素</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.2、</w:t>
      </w:r>
      <w:r>
        <w:rPr>
          <w:rFonts w:hint="eastAsia" w:ascii="仿宋" w:hAnsi="仿宋" w:eastAsia="仿宋" w:cs="仿宋"/>
          <w:sz w:val="24"/>
          <w:szCs w:val="24"/>
        </w:rPr>
        <w:t>费用表单、资本化表单，对于不同的费用科目按照实际需要设置不同的自定义格式；对于固定资产、租赁、装修、无形资产、员工费用、科技费用（软件项目、科技运维、电子设备）、营销费用等设置自定义表单</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.3、</w:t>
      </w:r>
      <w:r>
        <w:rPr>
          <w:rFonts w:hint="eastAsia" w:ascii="仿宋" w:hAnsi="仿宋" w:eastAsia="仿宋" w:cs="仿宋"/>
          <w:sz w:val="24"/>
          <w:szCs w:val="24"/>
        </w:rPr>
        <w:t>税金及附加表单，增值税附加税及印花税、房产税、土地使用税、工会经费、残疾人保障基金、帮困基金</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.4、</w:t>
      </w:r>
      <w:r>
        <w:rPr>
          <w:rFonts w:hint="eastAsia" w:ascii="仿宋" w:hAnsi="仿宋" w:eastAsia="仿宋" w:cs="仿宋"/>
          <w:sz w:val="24"/>
          <w:szCs w:val="24"/>
        </w:rPr>
        <w:t>资产减值损失表单，区分信贷资产和非信贷资产</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.5、</w:t>
      </w:r>
      <w:r>
        <w:rPr>
          <w:rFonts w:hint="eastAsia" w:ascii="仿宋" w:hAnsi="仿宋" w:eastAsia="仿宋" w:cs="仿宋"/>
          <w:sz w:val="24"/>
          <w:szCs w:val="24"/>
        </w:rPr>
        <w:t>营业外收入表单，区分项目类型</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.6、</w:t>
      </w:r>
      <w:r>
        <w:rPr>
          <w:rFonts w:hint="eastAsia" w:ascii="仿宋" w:hAnsi="仿宋" w:eastAsia="仿宋" w:cs="仿宋"/>
          <w:sz w:val="24"/>
          <w:szCs w:val="24"/>
        </w:rPr>
        <w:t>营业外支出表单，区分项目类型</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3.2.1</w:t>
      </w:r>
      <w:r>
        <w:rPr>
          <w:rFonts w:hint="eastAsia" w:ascii="仿宋" w:hAnsi="仿宋" w:eastAsia="仿宋" w:cs="仿宋"/>
          <w:sz w:val="24"/>
          <w:szCs w:val="24"/>
          <w:lang w:val="en-US" w:eastAsia="zh-CN"/>
        </w:rPr>
        <w:t>.7、</w:t>
      </w:r>
      <w:r>
        <w:rPr>
          <w:rFonts w:hint="eastAsia" w:ascii="仿宋" w:hAnsi="仿宋" w:eastAsia="仿宋" w:cs="仿宋"/>
          <w:sz w:val="24"/>
          <w:szCs w:val="24"/>
        </w:rPr>
        <w:t>所得税表单，区分当期所得税和递延所得税</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3.2.2</w:t>
      </w:r>
      <w:r>
        <w:rPr>
          <w:rFonts w:hint="eastAsia" w:ascii="仿宋" w:hAnsi="仿宋" w:eastAsia="仿宋" w:cs="仿宋"/>
          <w:sz w:val="24"/>
          <w:szCs w:val="24"/>
          <w:lang w:eastAsia="zh-CN"/>
        </w:rPr>
        <w:t>、</w:t>
      </w:r>
      <w:r>
        <w:rPr>
          <w:rFonts w:hint="eastAsia" w:ascii="仿宋" w:hAnsi="仿宋" w:eastAsia="仿宋" w:cs="仿宋"/>
          <w:sz w:val="24"/>
          <w:szCs w:val="24"/>
        </w:rPr>
        <w:t>支持机构、类别、条线、产品等多维度预算填报功能。支持对全行预算编制单位的进度管理，可灵活管理各机构、部门的预算编制协同过程，支持对预算编制过程中的进度监控及线上沟通。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3.2.2</w:t>
      </w:r>
      <w:r>
        <w:rPr>
          <w:rFonts w:hint="eastAsia" w:ascii="仿宋" w:hAnsi="仿宋" w:eastAsia="仿宋" w:cs="仿宋"/>
          <w:sz w:val="24"/>
          <w:szCs w:val="24"/>
          <w:lang w:val="en-US" w:eastAsia="zh-CN"/>
        </w:rPr>
        <w:t>.1、</w:t>
      </w:r>
      <w:r>
        <w:rPr>
          <w:rFonts w:hint="eastAsia" w:ascii="仿宋" w:hAnsi="仿宋" w:eastAsia="仿宋" w:cs="仿宋"/>
          <w:sz w:val="24"/>
          <w:szCs w:val="24"/>
        </w:rPr>
        <w:t>根据各机构的不同情况支持设置不同的预算编制表单</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3.2.2</w:t>
      </w:r>
      <w:r>
        <w:rPr>
          <w:rFonts w:hint="eastAsia" w:ascii="仿宋" w:hAnsi="仿宋" w:eastAsia="仿宋" w:cs="仿宋"/>
          <w:sz w:val="24"/>
          <w:szCs w:val="24"/>
          <w:lang w:val="en-US" w:eastAsia="zh-CN"/>
        </w:rPr>
        <w:t>.2、</w:t>
      </w:r>
      <w:r>
        <w:rPr>
          <w:rFonts w:hint="eastAsia" w:ascii="仿宋" w:hAnsi="仿宋" w:eastAsia="仿宋" w:cs="仿宋"/>
          <w:sz w:val="24"/>
          <w:szCs w:val="24"/>
        </w:rPr>
        <w:t>各机构为预算编制单元，各机构编制业务增量预算，包括资产增量、序时增长金额、利率，设置资产类别/科目类别/产品类别，支持不同精细度的预算编制，同时提供实际存量/预测基期/某时点/日均的实际情况（包含各要素）作为参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3.2.2</w:t>
      </w:r>
      <w:r>
        <w:rPr>
          <w:rFonts w:hint="eastAsia" w:ascii="仿宋" w:hAnsi="仿宋" w:eastAsia="仿宋" w:cs="仿宋"/>
          <w:sz w:val="24"/>
          <w:szCs w:val="24"/>
          <w:lang w:val="en-US" w:eastAsia="zh-CN"/>
        </w:rPr>
        <w:t>.3、</w:t>
      </w:r>
      <w:r>
        <w:rPr>
          <w:rFonts w:hint="eastAsia" w:ascii="仿宋" w:hAnsi="仿宋" w:eastAsia="仿宋" w:cs="仿宋"/>
          <w:sz w:val="24"/>
          <w:szCs w:val="24"/>
        </w:rPr>
        <w:t>支持总行部门对各机构/各部门对所辖网点预算填制进度的跟踪、进度展示、进度提醒等功能。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3.2.3</w:t>
      </w:r>
      <w:r>
        <w:rPr>
          <w:rFonts w:hint="eastAsia" w:ascii="仿宋" w:hAnsi="仿宋" w:eastAsia="仿宋" w:cs="仿宋"/>
          <w:sz w:val="24"/>
          <w:szCs w:val="24"/>
          <w:lang w:eastAsia="zh-CN"/>
        </w:rPr>
        <w:t>、</w:t>
      </w:r>
      <w:r>
        <w:rPr>
          <w:rFonts w:hint="eastAsia" w:ascii="仿宋" w:hAnsi="仿宋" w:eastAsia="仿宋" w:cs="仿宋"/>
          <w:sz w:val="24"/>
          <w:szCs w:val="24"/>
        </w:rPr>
        <w:t>预算汇总查询。支持机构、类别、条线、产品等多维度预算汇总功能。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3.2.3</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支持不同层级不同维度的预算汇总功能。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3.2.3</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区别不同场景下的预算汇总的不同版本功能。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eastAsia="zh-CN"/>
        </w:rPr>
        <w:t>、</w:t>
      </w:r>
      <w:r>
        <w:rPr>
          <w:rFonts w:hint="eastAsia" w:ascii="仿宋" w:hAnsi="仿宋" w:eastAsia="仿宋" w:cs="仿宋"/>
          <w:sz w:val="24"/>
          <w:szCs w:val="24"/>
        </w:rPr>
        <w:t>预算方案</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3.3.1</w:t>
      </w:r>
      <w:r>
        <w:rPr>
          <w:rFonts w:hint="eastAsia" w:ascii="仿宋" w:hAnsi="仿宋" w:eastAsia="仿宋" w:cs="仿宋"/>
          <w:sz w:val="24"/>
          <w:szCs w:val="24"/>
          <w:lang w:eastAsia="zh-CN"/>
        </w:rPr>
        <w:t>、</w:t>
      </w:r>
      <w:r>
        <w:rPr>
          <w:rFonts w:hint="eastAsia" w:ascii="仿宋" w:hAnsi="仿宋" w:eastAsia="仿宋" w:cs="仿宋"/>
          <w:sz w:val="24"/>
          <w:szCs w:val="24"/>
        </w:rPr>
        <w:t>业务预算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3.3.1.1</w:t>
      </w:r>
      <w:r>
        <w:rPr>
          <w:rFonts w:hint="eastAsia" w:ascii="仿宋" w:hAnsi="仿宋" w:eastAsia="仿宋" w:cs="仿宋"/>
          <w:sz w:val="24"/>
          <w:szCs w:val="24"/>
          <w:lang w:eastAsia="zh-CN"/>
        </w:rPr>
        <w:t>、</w:t>
      </w:r>
      <w:r>
        <w:rPr>
          <w:rFonts w:hint="eastAsia" w:ascii="仿宋" w:hAnsi="仿宋" w:eastAsia="仿宋" w:cs="仿宋"/>
          <w:sz w:val="24"/>
          <w:szCs w:val="24"/>
        </w:rPr>
        <w:t>存量预测：存量业务测算是假定某一日期的存量账户在到期之前的预算周期其金额、账户属性等不会发生改变，账户到期后支持选择不同的业务场景（包括利率调整等），以此测算存量账户预算周期所对应的利息收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1）接口资产负债管理系统/数据仓库，取全要素产品数据，作为预算测算的基数，考虑测算基期与年末时点的差异，在基期结构的基础上考虑时间段增量数据的影响，调节期初数据作为预算编制的存量基数</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）支持显示不同场景下预算数据与存量数据的差异，通过设置占比、变动额等指标发现异常波动</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）支持预算直接编制单元的汇总及直接编制单元对所辖网点的汇总，支持不同维度的预算编制查询</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）存量数据到期之前假设在到期之前属性要素保持不变</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）存量数据到期之后设置不同场景下的要素（利率）</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 测算存量数据不同场景下的利息收支，区分存量到期日前及到期日后。</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）业务预算包括母公司和村镇银行，支持村镇银行的数据导入、填制、抵消、合并等功能。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3.3.1.2</w:t>
      </w:r>
      <w:r>
        <w:rPr>
          <w:rFonts w:hint="eastAsia" w:ascii="仿宋" w:hAnsi="仿宋" w:eastAsia="仿宋" w:cs="仿宋"/>
          <w:sz w:val="24"/>
          <w:szCs w:val="24"/>
          <w:lang w:eastAsia="zh-CN"/>
        </w:rPr>
        <w:t>、</w:t>
      </w:r>
      <w:r>
        <w:rPr>
          <w:rFonts w:hint="eastAsia" w:ascii="仿宋" w:hAnsi="仿宋" w:eastAsia="仿宋" w:cs="仿宋"/>
          <w:sz w:val="24"/>
          <w:szCs w:val="24"/>
        </w:rPr>
        <w:t>增量预测：以业务量及预算周期内的预测利率为基础进行测算。支持机构、产品、条线等账户级别不同维度的场景设置，测算不通情况下不同预算周期内的利息收支。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1）支持提供存量参考数据</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2）支持不同细化程度的机构预算编制功能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3）规模序时进度可按照平均、同期序时等方法</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4）利率细至不同层级，产品级别/科目级别/资产类别，支持显示下拉菜单，自动显示资负/数仓存量数据时点加权/平均利率/预算基期时点加权/一段期间平均利率/自定义利率</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5）支持设置不同的结构、序时进度、期限、利率等要素，生成不同的业务预算</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6）支持对预算表单的填制设置容忍区间或限制，如规模、利率、序时进度，提高预算编制的合理性、稳定性</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3.3.1.3</w:t>
      </w:r>
      <w:r>
        <w:rPr>
          <w:rFonts w:hint="eastAsia" w:ascii="仿宋" w:hAnsi="仿宋" w:eastAsia="仿宋" w:cs="仿宋"/>
          <w:sz w:val="24"/>
          <w:szCs w:val="24"/>
          <w:lang w:eastAsia="zh-CN"/>
        </w:rPr>
        <w:t>、</w:t>
      </w:r>
      <w:r>
        <w:rPr>
          <w:rFonts w:hint="eastAsia" w:ascii="仿宋" w:hAnsi="仿宋" w:eastAsia="仿宋" w:cs="仿宋"/>
          <w:sz w:val="24"/>
          <w:szCs w:val="24"/>
        </w:rPr>
        <w:t>支持期限、机构、产品、条线等不同维度的测算结果查询及导出功能。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3.3.2</w:t>
      </w:r>
      <w:r>
        <w:rPr>
          <w:rFonts w:hint="eastAsia" w:ascii="仿宋" w:hAnsi="仿宋" w:eastAsia="仿宋" w:cs="仿宋"/>
          <w:sz w:val="24"/>
          <w:szCs w:val="24"/>
          <w:lang w:eastAsia="zh-CN"/>
        </w:rPr>
        <w:t>、</w:t>
      </w:r>
      <w:r>
        <w:rPr>
          <w:rFonts w:hint="eastAsia" w:ascii="仿宋" w:hAnsi="仿宋" w:eastAsia="仿宋" w:cs="仿宋"/>
          <w:sz w:val="24"/>
          <w:szCs w:val="24"/>
        </w:rPr>
        <w:t>资本预算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3.3.2.1设置资本预算编制模型，满足资本计算要求</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资本计量</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总资本净额=核心一级资本净额+二级资本净额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核心一级资本净额=一级资本净额=资产负债表所有者权益合计-核心一级资本监管扣除项目</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二级资本净额=二级资本-二级资本监管扣除项目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核心一级资本监管扣除项目=全额扣除项目合计=其他无形资产(不含土地使用权) 扣减与之相关的递延税负债后的净额+ 确定受益类的养老金资产扣减与之相关的递延税负债后的净额+对有控制权但不并表的金融机构的核心一级资本投资（除子公司外的股权投资）</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注：暂不考虑一级门槛扣除项目</w:t>
      </w:r>
    </w:p>
    <w:p>
      <w:pPr>
        <w:pStyle w:val="123"/>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二级资本=</w:t>
      </w:r>
      <w:r>
        <w:rPr>
          <w:rFonts w:hint="eastAsia" w:ascii="仿宋" w:hAnsi="仿宋" w:eastAsia="仿宋" w:cs="仿宋"/>
          <w:kern w:val="0"/>
          <w:sz w:val="24"/>
          <w:szCs w:val="24"/>
        </w:rPr>
        <w:t>二级资本工具及其溢价可计入金额+超额贷款损失准备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kern w:val="0"/>
          <w:sz w:val="24"/>
          <w:szCs w:val="24"/>
        </w:rPr>
      </w:pPr>
      <w:r>
        <w:rPr>
          <w:rFonts w:hint="eastAsia" w:ascii="仿宋" w:hAnsi="仿宋" w:eastAsia="仿宋" w:cs="仿宋"/>
          <w:sz w:val="24"/>
          <w:szCs w:val="24"/>
        </w:rPr>
        <w:t>其中：</w:t>
      </w:r>
      <w:r>
        <w:rPr>
          <w:rFonts w:hint="eastAsia" w:ascii="仿宋" w:hAnsi="仿宋" w:eastAsia="仿宋" w:cs="仿宋"/>
          <w:kern w:val="0"/>
          <w:sz w:val="24"/>
          <w:szCs w:val="24"/>
        </w:rPr>
        <w:t>二级资本工具及其溢价可计入金额=发行的二级资本债余额明细（发行5年后50%计量）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加权风险资产计量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加权风险资产=信用风险加权资产+操作风险加权资产+市场风险加权资产</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注：暂不考虑市场风险的影响。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信用风险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1.1）</w:t>
      </w:r>
      <w:r>
        <w:rPr>
          <w:rFonts w:hint="eastAsia" w:ascii="仿宋" w:hAnsi="仿宋" w:eastAsia="仿宋" w:cs="仿宋"/>
          <w:sz w:val="24"/>
          <w:szCs w:val="24"/>
        </w:rPr>
        <w:t>表内信用风险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对各个产品类别根据最新加权平均权重进行不同场景的比例配置，系统导入进行设置。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表内信用风险加权资产=表内信用风险加权资产余额+可计入二级资本的超额贷款损失准备</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1.2）</w:t>
      </w:r>
      <w:r>
        <w:rPr>
          <w:rFonts w:hint="eastAsia" w:ascii="仿宋" w:hAnsi="仿宋" w:eastAsia="仿宋" w:cs="仿宋"/>
          <w:sz w:val="24"/>
          <w:szCs w:val="24"/>
        </w:rPr>
        <w:t>表外信用风险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银行承兑汇票：扣除保证金外，统一按照100%权重计量风险资产</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未使用的信用卡额度：按照75%权重计量</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有追索权的资产销售：根据直贴转帖卖出金额，按照25%的权重计量风险资产</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2.2</w:t>
      </w:r>
      <w:r>
        <w:rPr>
          <w:rFonts w:hint="eastAsia" w:ascii="仿宋" w:hAnsi="仿宋" w:eastAsia="仿宋" w:cs="仿宋"/>
          <w:sz w:val="24"/>
          <w:szCs w:val="24"/>
          <w:lang w:eastAsia="zh-CN"/>
        </w:rPr>
        <w:t>）</w:t>
      </w:r>
      <w:r>
        <w:rPr>
          <w:rFonts w:hint="eastAsia" w:ascii="仿宋" w:hAnsi="仿宋" w:eastAsia="仿宋" w:cs="仿宋"/>
          <w:sz w:val="24"/>
          <w:szCs w:val="24"/>
        </w:rPr>
        <w:t>操作风险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基本指标法操作风险加权风险资产=（最近三年的利息净收入+非利息净收入）*15%/3*12.5，手工录入更新相关数据。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2.3</w:t>
      </w:r>
      <w:r>
        <w:rPr>
          <w:rFonts w:hint="eastAsia" w:ascii="仿宋" w:hAnsi="仿宋" w:eastAsia="仿宋" w:cs="仿宋"/>
          <w:sz w:val="24"/>
          <w:szCs w:val="24"/>
          <w:lang w:eastAsia="zh-CN"/>
        </w:rPr>
        <w:t>）</w:t>
      </w:r>
      <w:r>
        <w:rPr>
          <w:rFonts w:hint="eastAsia" w:ascii="仿宋" w:hAnsi="仿宋" w:eastAsia="仿宋" w:cs="仿宋"/>
          <w:sz w:val="24"/>
          <w:szCs w:val="24"/>
        </w:rPr>
        <w:t>市场风险</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根据最新的结构导入并进行资本配置，新增部分按照存量结构进行配置，并根据具体情况进行更新。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总体思路：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设置核心一级资本充足率、一级资本充足率、资本充足率计算模型；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建立业务预算、资本预算、财务预算相互交融的预算管理体系，由业务预算到资本预算，再由资本预算到业务预算的循环往复的过程；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抓取资负不同产品资本计提比例，综合计算不同产品/科目的全行综合风险权重，细化不同机构的不同产品/科目的机构风险权重，设置积极、稳健、保守等场景，同时根据最新情况每季度对不同产品的加权权重进行更新；</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根据存量产品明细及不同场景下的新增业务明细，按照配置的风险资产加权比例及计算规则，计算不同场景下的资本充足率；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选择确定某一场景下的资本充足计算，据此进行资本分解</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3.3.2.2</w:t>
      </w:r>
      <w:r>
        <w:rPr>
          <w:rFonts w:hint="eastAsia" w:ascii="仿宋" w:hAnsi="仿宋" w:eastAsia="仿宋" w:cs="仿宋"/>
          <w:sz w:val="24"/>
          <w:szCs w:val="24"/>
          <w:lang w:eastAsia="zh-CN"/>
        </w:rPr>
        <w:t>、</w:t>
      </w:r>
      <w:r>
        <w:rPr>
          <w:rFonts w:hint="eastAsia" w:ascii="仿宋" w:hAnsi="仿宋" w:eastAsia="仿宋" w:cs="仿宋"/>
          <w:sz w:val="24"/>
          <w:szCs w:val="24"/>
        </w:rPr>
        <w:t>增量编制法。与业务预算紧密相连，在存量资本结构的基础上编制增量资本情况，从而形成全行资本预算</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3.3.2.3</w:t>
      </w:r>
      <w:r>
        <w:rPr>
          <w:rFonts w:hint="eastAsia" w:ascii="仿宋" w:hAnsi="仿宋" w:eastAsia="仿宋" w:cs="仿宋"/>
          <w:sz w:val="24"/>
          <w:szCs w:val="24"/>
          <w:lang w:eastAsia="zh-CN"/>
        </w:rPr>
        <w:t>、</w:t>
      </w:r>
      <w:r>
        <w:rPr>
          <w:rFonts w:hint="eastAsia" w:ascii="仿宋" w:hAnsi="仿宋" w:eastAsia="仿宋" w:cs="仿宋"/>
          <w:sz w:val="24"/>
          <w:szCs w:val="24"/>
        </w:rPr>
        <w:t>零基编制法。在全量业务规模的基础上通过资本测算模型进行资本测算</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3.3.2.4</w:t>
      </w:r>
      <w:r>
        <w:rPr>
          <w:rFonts w:hint="eastAsia" w:ascii="仿宋" w:hAnsi="仿宋" w:eastAsia="仿宋" w:cs="仿宋"/>
          <w:sz w:val="24"/>
          <w:szCs w:val="24"/>
          <w:lang w:eastAsia="zh-CN"/>
        </w:rPr>
        <w:t>、</w:t>
      </w:r>
      <w:r>
        <w:rPr>
          <w:rFonts w:hint="eastAsia" w:ascii="仿宋" w:hAnsi="仿宋" w:eastAsia="仿宋" w:cs="仿宋"/>
          <w:sz w:val="24"/>
          <w:szCs w:val="24"/>
        </w:rPr>
        <w:t>支持不同假设场景下的资本预算的编制</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3.3.2.5</w:t>
      </w:r>
      <w:r>
        <w:rPr>
          <w:rFonts w:hint="eastAsia" w:ascii="仿宋" w:hAnsi="仿宋" w:eastAsia="仿宋" w:cs="仿宋"/>
          <w:sz w:val="24"/>
          <w:szCs w:val="24"/>
          <w:lang w:eastAsia="zh-CN"/>
        </w:rPr>
        <w:t>、</w:t>
      </w:r>
      <w:r>
        <w:rPr>
          <w:rFonts w:hint="eastAsia" w:ascii="仿宋" w:hAnsi="仿宋" w:eastAsia="仿宋" w:cs="仿宋"/>
          <w:sz w:val="24"/>
          <w:szCs w:val="24"/>
        </w:rPr>
        <w:t>支持预算结果与经营目标的差异比较预警功能。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3.3.3</w:t>
      </w:r>
      <w:r>
        <w:rPr>
          <w:rFonts w:hint="eastAsia" w:ascii="仿宋" w:hAnsi="仿宋" w:eastAsia="仿宋" w:cs="仿宋"/>
          <w:sz w:val="24"/>
          <w:szCs w:val="24"/>
          <w:lang w:eastAsia="zh-CN"/>
        </w:rPr>
        <w:t>、</w:t>
      </w:r>
      <w:r>
        <w:rPr>
          <w:rFonts w:hint="eastAsia" w:ascii="仿宋" w:hAnsi="仿宋" w:eastAsia="仿宋" w:cs="仿宋"/>
          <w:sz w:val="24"/>
          <w:szCs w:val="24"/>
        </w:rPr>
        <w:t>财务预算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各类应税收入应考虑增值税的影响。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3.3.3.1</w:t>
      </w:r>
      <w:r>
        <w:rPr>
          <w:rFonts w:hint="eastAsia" w:ascii="仿宋" w:hAnsi="仿宋" w:eastAsia="仿宋" w:cs="仿宋"/>
          <w:sz w:val="24"/>
          <w:szCs w:val="24"/>
          <w:lang w:eastAsia="zh-CN"/>
        </w:rPr>
        <w:t>、</w:t>
      </w:r>
      <w:r>
        <w:rPr>
          <w:rFonts w:hint="eastAsia" w:ascii="仿宋" w:hAnsi="仿宋" w:eastAsia="仿宋" w:cs="仿宋"/>
          <w:sz w:val="24"/>
          <w:szCs w:val="24"/>
        </w:rPr>
        <w:t>基础设置。设置指标体系，支持不同预算项目的指标设定，与2.2.2的基础设置进行链接</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1）利息净收入：对接业务预算，计算不同预算单元的利息收支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2）非利息净收入：系统呈现非利息净收入存量/同期/环比/预算金额。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手续费收入</w:t>
      </w:r>
      <w:r>
        <w:rPr>
          <w:rFonts w:hint="eastAsia" w:ascii="仿宋" w:hAnsi="仿宋" w:eastAsia="仿宋" w:cs="仿宋"/>
          <w:sz w:val="24"/>
          <w:szCs w:val="24"/>
          <w:lang w:eastAsia="zh-CN"/>
        </w:rPr>
        <w:t>：</w:t>
      </w:r>
      <w:r>
        <w:rPr>
          <w:rFonts w:hint="eastAsia" w:ascii="仿宋" w:hAnsi="仿宋" w:eastAsia="仿宋" w:cs="仿宋"/>
          <w:sz w:val="24"/>
          <w:szCs w:val="24"/>
        </w:rPr>
        <w:t>（1）对接FTP、核心等相关系统，取数不同机构的存量手续费收入金额，作为预算编制单元预算编制的参考，同时考虑取数时点与预算编制基期的发生额；（2）对于不同预算单位设置不同的填制表单；（3）预算填制设置一定的置信区间，以提高相对准确性；（4）系统显示环比变动、环比增幅、同比变动、同比增幅，对变动幅度超过一定幅度的予以特别提醒。</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手续费支出</w:t>
      </w:r>
      <w:r>
        <w:rPr>
          <w:rFonts w:hint="eastAsia" w:ascii="仿宋" w:hAnsi="仿宋" w:eastAsia="仿宋" w:cs="仿宋"/>
          <w:sz w:val="24"/>
          <w:szCs w:val="24"/>
          <w:lang w:eastAsia="zh-CN"/>
        </w:rPr>
        <w:t>：</w:t>
      </w:r>
      <w:r>
        <w:rPr>
          <w:rFonts w:hint="eastAsia" w:ascii="仿宋" w:hAnsi="仿宋" w:eastAsia="仿宋" w:cs="仿宋"/>
          <w:sz w:val="24"/>
          <w:szCs w:val="24"/>
        </w:rPr>
        <w:t>（1）对接FTP系统，取数不同机构的存量手续费支出金额，作为预算编制单元预算编制的参考，同时考虑取数时点与预算编制基期的发生额；（2）对于不同预算单位设置不同的填制表单</w:t>
      </w:r>
      <w:r>
        <w:rPr>
          <w:rFonts w:hint="eastAsia" w:ascii="仿宋" w:hAnsi="仿宋" w:eastAsia="仿宋" w:cs="仿宋"/>
          <w:sz w:val="24"/>
          <w:szCs w:val="24"/>
          <w:lang w:eastAsia="zh-CN"/>
        </w:rPr>
        <w:t>；</w:t>
      </w:r>
      <w:r>
        <w:rPr>
          <w:rFonts w:hint="eastAsia" w:ascii="仿宋" w:hAnsi="仿宋" w:eastAsia="仿宋" w:cs="仿宋"/>
          <w:sz w:val="24"/>
          <w:szCs w:val="24"/>
        </w:rPr>
        <w:t>（3）预算填制设置一定的置信区间，以提高相对准确性</w:t>
      </w:r>
      <w:r>
        <w:rPr>
          <w:rFonts w:hint="eastAsia" w:ascii="仿宋" w:hAnsi="仿宋" w:eastAsia="仿宋" w:cs="仿宋"/>
          <w:sz w:val="24"/>
          <w:szCs w:val="24"/>
          <w:lang w:eastAsia="zh-CN"/>
        </w:rPr>
        <w:t>；</w:t>
      </w:r>
      <w:r>
        <w:rPr>
          <w:rFonts w:hint="eastAsia" w:ascii="仿宋" w:hAnsi="仿宋" w:eastAsia="仿宋" w:cs="仿宋"/>
          <w:sz w:val="24"/>
          <w:szCs w:val="24"/>
        </w:rPr>
        <w:t>（4）系统显示环比变动、环比增幅、同比变动、同比增幅，对变动幅度超过一定幅度的予以特别提醒</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汇兑收益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手工维护存量/同期数据，系统显示环比变动、环比增幅、同比变动、同比增幅，对变动幅度超过一定幅度的予以特别提醒</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公允价值变动损益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手工维护存量/同期数据，系统显示环比变动、环比增幅、同比变动、同比增幅，对变动幅度超过一定幅度的予以特别提醒</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投资收益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手工维护存量/同期数据，系统显示环比变动、环比增幅、同比变动、同比增幅，对变动幅度超过一定幅度的予以特别提醒</w:t>
      </w:r>
      <w:r>
        <w:rPr>
          <w:rFonts w:hint="eastAsia" w:ascii="仿宋" w:hAnsi="仿宋" w:eastAsia="仿宋" w:cs="仿宋"/>
          <w:sz w:val="24"/>
          <w:szCs w:val="24"/>
          <w:lang w:eastAsia="zh-CN"/>
        </w:rPr>
        <w:t>。如：（</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股权投资收益</w:t>
      </w:r>
      <w:r>
        <w:rPr>
          <w:rFonts w:hint="eastAsia" w:ascii="仿宋" w:hAnsi="仿宋" w:eastAsia="仿宋" w:cs="仿宋"/>
          <w:sz w:val="24"/>
          <w:szCs w:val="24"/>
          <w:lang w:eastAsia="zh-CN"/>
        </w:rPr>
        <w:t>、</w:t>
      </w:r>
      <w:r>
        <w:rPr>
          <w:rFonts w:hint="eastAsia" w:ascii="仿宋" w:hAnsi="仿宋" w:eastAsia="仿宋" w:cs="仿宋"/>
          <w:sz w:val="24"/>
          <w:szCs w:val="24"/>
        </w:rPr>
        <w:t>（2）债券投资收益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租赁收入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手工维护存量/同期数据，系统显示环比变动、环比增幅、同比变动、同比增幅，对变动幅度超过一定幅度的予以特别提醒</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支持各机构租赁收入登记功能，区分房产、设备和抵债资产，对于已经签订多年租赁合同，且合同期跨越下一预算年度的，系统自动取得对应的租赁收入；对于合同在下一预算年中到期或闲置的资产，根据资产往年出租情况对其做一定合同续签假设，将两部分汇总得出下一年度租赁收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eastAsia="zh-CN"/>
        </w:rPr>
        <w:t>）</w:t>
      </w:r>
      <w:r>
        <w:rPr>
          <w:rFonts w:hint="eastAsia" w:ascii="仿宋" w:hAnsi="仿宋" w:eastAsia="仿宋" w:cs="仿宋"/>
          <w:sz w:val="24"/>
          <w:szCs w:val="24"/>
        </w:rPr>
        <w:t>营业税金及附加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附加税：根据增值税金额乘以附加税税率得出。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税金（印花、土地、房产）：手工维护存量/同期数据，系统显示环比变动、环比增幅、同比变动、同比增幅，对变动幅度超过一定幅度的予以特别提醒。</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业务及管理费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区分归口费用、日常费用和专项费用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系统接口财务系统或系统导入存量明细作为预算编制参考；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根据不同机构/部门的特点设计不同的预算填制表单；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预算编制人员可在费用明细表中查询本机构/所辖机构费用明细；</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系统对各预算机构/全行的收入成本比控制一定比例区间；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系统支持大额预算项目添加预算明细表功能，便于预算编制合理性审核；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设置单独表单，用于计算固定资产、无形资产、长期待摊费用、员工费用、科技费用等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日常预算由机构/部门预算联系人进行单独编制，专项、归口预算由归口部门统筹全行情况编制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增加费用预测功能，导入固定资产、无形资产、长期待摊费用存量明细预测折旧影响</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）所得税费用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涉及当期所得税和递延所得税计算模型</w:t>
      </w:r>
      <w:r>
        <w:rPr>
          <w:rFonts w:hint="eastAsia" w:ascii="仿宋" w:hAnsi="仿宋" w:eastAsia="仿宋" w:cs="仿宋"/>
          <w:sz w:val="24"/>
          <w:szCs w:val="24"/>
          <w:lang w:val="en-US" w:eastAsia="zh-CN"/>
        </w:rPr>
        <w:t>;</w:t>
      </w:r>
      <w:r>
        <w:rPr>
          <w:rFonts w:hint="eastAsia" w:ascii="仿宋" w:hAnsi="仿宋" w:eastAsia="仿宋" w:cs="仿宋"/>
          <w:sz w:val="24"/>
          <w:szCs w:val="24"/>
        </w:rPr>
        <w:t>通过接口取数和手工录入、手工调整计算预计的当期所得税和递延所得税。</w:t>
      </w:r>
    </w:p>
    <w:p>
      <w:pPr>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非生息资产、非付息负债、所有者权益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通过表单计算、手工录入的方式进行。</w:t>
      </w:r>
    </w:p>
    <w:p>
      <w:pPr>
        <w:keepNext w:val="0"/>
        <w:keepLines w:val="0"/>
        <w:pageBreakBefore w:val="0"/>
        <w:kinsoku/>
        <w:wordWrap/>
        <w:overflowPunct/>
        <w:topLinePunct w:val="0"/>
        <w:autoSpaceDE/>
        <w:autoSpaceDN/>
        <w:bidi w:val="0"/>
        <w:adjustRightInd w:val="0"/>
        <w:snapToGrid w:val="0"/>
        <w:spacing w:line="360" w:lineRule="auto"/>
        <w:ind w:firstLine="420" w:firstLineChars="0"/>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村镇银行报表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导入村镇银行资产负债表、损益表，并设计抵消分录，生成合并资产负债表和利润表。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w:t>
      </w:r>
      <w:r>
        <w:rPr>
          <w:rFonts w:hint="eastAsia" w:ascii="仿宋" w:hAnsi="仿宋" w:eastAsia="仿宋" w:cs="仿宋"/>
          <w:sz w:val="24"/>
          <w:szCs w:val="24"/>
          <w:lang w:val="en-US" w:eastAsia="zh-CN"/>
        </w:rPr>
        <w:t>6、</w:t>
      </w:r>
      <w:r>
        <w:rPr>
          <w:rFonts w:hint="eastAsia" w:ascii="仿宋" w:hAnsi="仿宋" w:eastAsia="仿宋" w:cs="仿宋"/>
          <w:sz w:val="24"/>
          <w:szCs w:val="24"/>
        </w:rPr>
        <w:t>预算填报。设置预算表单，支持不同预算项目的表单填制，预算填制时可添加限定条件</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同时支持总行对所需临时基础数据下发到机构/部门填报的功能，如：房屋租赁情况、在建工程明细等。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w:t>
      </w:r>
      <w:r>
        <w:rPr>
          <w:rFonts w:hint="eastAsia" w:ascii="仿宋" w:hAnsi="仿宋" w:eastAsia="仿宋" w:cs="仿宋"/>
          <w:sz w:val="24"/>
          <w:szCs w:val="24"/>
          <w:lang w:val="en-US" w:eastAsia="zh-CN"/>
        </w:rPr>
        <w:t>7、</w:t>
      </w:r>
      <w:r>
        <w:rPr>
          <w:rFonts w:hint="eastAsia" w:ascii="仿宋" w:hAnsi="仿宋" w:eastAsia="仿宋" w:cs="仿宋"/>
          <w:sz w:val="24"/>
          <w:szCs w:val="24"/>
        </w:rPr>
        <w:t>预算汇总。支持不同维度不同项目的预算项目汇总，与业务预算进行衔接</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3.3.</w:t>
      </w:r>
      <w:r>
        <w:rPr>
          <w:rFonts w:hint="eastAsia" w:ascii="仿宋" w:hAnsi="仿宋" w:eastAsia="仿宋" w:cs="仿宋"/>
          <w:sz w:val="24"/>
          <w:szCs w:val="24"/>
          <w:lang w:val="en-US" w:eastAsia="zh-CN"/>
        </w:rPr>
        <w:t>8、</w:t>
      </w:r>
      <w:r>
        <w:rPr>
          <w:rFonts w:hint="eastAsia" w:ascii="仿宋" w:hAnsi="仿宋" w:eastAsia="仿宋" w:cs="仿宋"/>
          <w:sz w:val="24"/>
          <w:szCs w:val="24"/>
        </w:rPr>
        <w:t>报表生成。生成不同维度不同场景下的财务报表，生成不同组合假设条件下的报表</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3.3.</w:t>
      </w:r>
      <w:r>
        <w:rPr>
          <w:rFonts w:hint="eastAsia" w:ascii="仿宋" w:hAnsi="仿宋" w:eastAsia="仿宋" w:cs="仿宋"/>
          <w:sz w:val="24"/>
          <w:szCs w:val="24"/>
          <w:lang w:val="en-US" w:eastAsia="zh-CN"/>
        </w:rPr>
        <w:t>9、</w:t>
      </w:r>
      <w:r>
        <w:rPr>
          <w:rFonts w:hint="eastAsia" w:ascii="仿宋" w:hAnsi="仿宋" w:eastAsia="仿宋" w:cs="仿宋"/>
          <w:sz w:val="24"/>
          <w:szCs w:val="24"/>
        </w:rPr>
        <w:t>报表转换。通过利率等多维度、多场景设置，支持将不同场景下的会计报表向管会报表进行转换。</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3.4</w:t>
      </w:r>
      <w:r>
        <w:rPr>
          <w:rFonts w:hint="eastAsia" w:ascii="仿宋" w:hAnsi="仿宋" w:eastAsia="仿宋" w:cs="仿宋"/>
          <w:sz w:val="24"/>
          <w:szCs w:val="24"/>
          <w:lang w:eastAsia="zh-CN"/>
        </w:rPr>
        <w:t>、</w:t>
      </w:r>
      <w:r>
        <w:rPr>
          <w:rFonts w:hint="eastAsia" w:ascii="仿宋" w:hAnsi="仿宋" w:eastAsia="仿宋" w:cs="仿宋"/>
          <w:sz w:val="24"/>
          <w:szCs w:val="24"/>
        </w:rPr>
        <w:t>预算汇总</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支持多维度的预算汇总功能，并将资本预算、业务预算、费用预算建立链接关系，制定全面的预算编制管理体系，系统支持对全行经营计划与全行预算汇总结果进行差异分析。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3.5</w:t>
      </w:r>
      <w:r>
        <w:rPr>
          <w:rFonts w:hint="eastAsia" w:ascii="仿宋" w:hAnsi="仿宋" w:eastAsia="仿宋" w:cs="仿宋"/>
          <w:sz w:val="24"/>
          <w:szCs w:val="24"/>
          <w:lang w:eastAsia="zh-CN"/>
        </w:rPr>
        <w:t>、</w:t>
      </w:r>
      <w:r>
        <w:rPr>
          <w:rFonts w:hint="eastAsia" w:ascii="仿宋" w:hAnsi="仿宋" w:eastAsia="仿宋" w:cs="仿宋"/>
          <w:sz w:val="24"/>
          <w:szCs w:val="24"/>
        </w:rPr>
        <w:t>滚动预算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系统支持不同层级的滚动预算编制，选择两种方式实现滚动预测。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3.5.1</w:t>
      </w:r>
      <w:r>
        <w:rPr>
          <w:rFonts w:hint="eastAsia" w:ascii="仿宋" w:hAnsi="仿宋" w:eastAsia="仿宋" w:cs="仿宋"/>
          <w:sz w:val="24"/>
          <w:szCs w:val="24"/>
          <w:lang w:eastAsia="zh-CN"/>
        </w:rPr>
        <w:t>、</w:t>
      </w:r>
      <w:r>
        <w:rPr>
          <w:rFonts w:hint="eastAsia" w:ascii="仿宋" w:hAnsi="仿宋" w:eastAsia="仿宋" w:cs="仿宋"/>
          <w:sz w:val="24"/>
          <w:szCs w:val="24"/>
        </w:rPr>
        <w:t>系统支持以某一时点为基数，选择一定期间，根据不同的假设场景进行业务预算、资本预算、财务预算的滚动预算编制。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3.5.2</w:t>
      </w:r>
      <w:r>
        <w:rPr>
          <w:rFonts w:hint="eastAsia" w:ascii="仿宋" w:hAnsi="仿宋" w:eastAsia="仿宋" w:cs="仿宋"/>
          <w:sz w:val="24"/>
          <w:szCs w:val="24"/>
          <w:lang w:eastAsia="zh-CN"/>
        </w:rPr>
        <w:t>、</w:t>
      </w:r>
      <w:r>
        <w:rPr>
          <w:rFonts w:hint="eastAsia" w:ascii="仿宋" w:hAnsi="仿宋" w:eastAsia="仿宋" w:cs="仿宋"/>
          <w:sz w:val="24"/>
          <w:szCs w:val="24"/>
        </w:rPr>
        <w:t>预算预测支持在资负系统将预测结果发送至预算系统和从资负系统取数后在预算系统进行预测两种方式并行。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1）系统支持资负接口取数，支持不同场景下资负取数</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2）生成不同场景下的资产负债表、损益表，资本充足率、MPA情况</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3.5.3</w:t>
      </w:r>
      <w:r>
        <w:rPr>
          <w:rFonts w:hint="eastAsia" w:ascii="仿宋" w:hAnsi="仿宋" w:eastAsia="仿宋" w:cs="仿宋"/>
          <w:sz w:val="24"/>
          <w:szCs w:val="24"/>
          <w:lang w:eastAsia="zh-CN"/>
        </w:rPr>
        <w:t>、</w:t>
      </w:r>
      <w:r>
        <w:rPr>
          <w:rFonts w:hint="eastAsia" w:ascii="仿宋" w:hAnsi="仿宋" w:eastAsia="仿宋" w:cs="仿宋"/>
          <w:sz w:val="24"/>
          <w:szCs w:val="24"/>
        </w:rPr>
        <w:t>在与资负系统对接取数的过程中实现对资负系统正确性的检验。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在预算系统中设置预算预测功能，生成不同场景下不同维度的预算情况，同时进行资负预测数据的对比分析功能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3.6审批流程管理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设置多层级的预算编制审批流程管理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3.6.</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预算编制单元编制机构内部审批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总行部门：部门预算管理员负债编制，部门负责人/分管行领导负债审核</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中心支行/异地分行：所辖支行预算管理员负责编制，二级支行长负责初审，中心支行/异地分行行长负责审核</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本地/异地直属支行：支行预算管理员负债编制，支行负责人负责审核。</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4、预算分解下达</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4.1</w:t>
      </w:r>
      <w:r>
        <w:rPr>
          <w:rFonts w:hint="eastAsia" w:ascii="仿宋" w:hAnsi="仿宋" w:eastAsia="仿宋" w:cs="仿宋"/>
          <w:sz w:val="24"/>
          <w:szCs w:val="24"/>
          <w:lang w:eastAsia="zh-CN"/>
        </w:rPr>
        <w:t>、</w:t>
      </w:r>
      <w:r>
        <w:rPr>
          <w:rFonts w:hint="eastAsia" w:ascii="仿宋" w:hAnsi="仿宋" w:eastAsia="仿宋" w:cs="仿宋"/>
          <w:sz w:val="24"/>
          <w:szCs w:val="24"/>
        </w:rPr>
        <w:t>支持将财务报表向管理会计数据的转变</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对接FTP系统，选择恰当的FTP利率将财务报表转换成管会数据，用于预算的分解下达。</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4.2</w:t>
      </w:r>
      <w:r>
        <w:rPr>
          <w:rFonts w:hint="eastAsia" w:ascii="仿宋" w:hAnsi="仿宋" w:eastAsia="仿宋" w:cs="仿宋"/>
          <w:sz w:val="24"/>
          <w:szCs w:val="24"/>
          <w:lang w:eastAsia="zh-CN"/>
        </w:rPr>
        <w:t>、</w:t>
      </w:r>
      <w:r>
        <w:rPr>
          <w:rFonts w:hint="eastAsia" w:ascii="仿宋" w:hAnsi="仿宋" w:eastAsia="仿宋" w:cs="仿宋"/>
          <w:sz w:val="24"/>
          <w:szCs w:val="24"/>
        </w:rPr>
        <w:t>支持多维度、多层级的灵活的分解体系</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4.2.1、</w:t>
      </w:r>
      <w:r>
        <w:rPr>
          <w:rFonts w:hint="eastAsia" w:ascii="仿宋" w:hAnsi="仿宋" w:eastAsia="仿宋" w:cs="仿宋"/>
          <w:sz w:val="24"/>
          <w:szCs w:val="24"/>
        </w:rPr>
        <w:t>设置机构、产品、日均、时点、利率、利差、拨备前利润、利润总额、EVA、RAROE、目标任务、上浮幅度、目标任务等不同要素维度</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4.2.2、</w:t>
      </w:r>
      <w:r>
        <w:rPr>
          <w:rFonts w:hint="eastAsia" w:ascii="仿宋" w:hAnsi="仿宋" w:eastAsia="仿宋" w:cs="仿宋"/>
          <w:sz w:val="24"/>
          <w:szCs w:val="24"/>
        </w:rPr>
        <w:t>对于不同机构、不同分解目标支持设置不同的分解方式</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4.2.3、</w:t>
      </w:r>
      <w:r>
        <w:rPr>
          <w:rFonts w:hint="eastAsia" w:ascii="仿宋" w:hAnsi="仿宋" w:eastAsia="仿宋" w:cs="仿宋"/>
          <w:sz w:val="24"/>
          <w:szCs w:val="24"/>
        </w:rPr>
        <w:t>支持不同层级的预算分解，总行计划财务部分解至总行部门，总行部门分解至分行/中心支行/直属支行，再由分行/中心支行分解至所辖支行。或者由总行直接分解至分行/中心支行/直属支行，再由其分至所辖机构</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4.2.4、</w:t>
      </w:r>
      <w:r>
        <w:rPr>
          <w:rFonts w:hint="eastAsia" w:ascii="仿宋" w:hAnsi="仿宋" w:eastAsia="仿宋" w:cs="仿宋"/>
          <w:sz w:val="24"/>
          <w:szCs w:val="24"/>
        </w:rPr>
        <w:t>预算方案根据投放进度分解细化至月，为提高预算分析准确度提供基础。</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4.3</w:t>
      </w:r>
      <w:r>
        <w:rPr>
          <w:rFonts w:hint="eastAsia" w:ascii="仿宋" w:hAnsi="仿宋" w:eastAsia="仿宋" w:cs="仿宋"/>
          <w:sz w:val="24"/>
          <w:szCs w:val="24"/>
          <w:lang w:eastAsia="zh-CN"/>
        </w:rPr>
        <w:t>、</w:t>
      </w:r>
      <w:r>
        <w:rPr>
          <w:rFonts w:hint="eastAsia" w:ascii="仿宋" w:hAnsi="仿宋" w:eastAsia="仿宋" w:cs="仿宋"/>
          <w:sz w:val="24"/>
          <w:szCs w:val="24"/>
        </w:rPr>
        <w:t>支持多层级、灵活的预算分解审批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rPr>
        <w:t>4.3</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财务行长/计划财务部负责人总体审批</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4.3</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业务部门的审批</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4.3</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分行/中心支行的审批</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支持多维度预算分解的查询导出功能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5、</w:t>
      </w:r>
      <w:r>
        <w:rPr>
          <w:rFonts w:hint="eastAsia" w:ascii="仿宋" w:hAnsi="仿宋" w:eastAsia="仿宋" w:cs="仿宋"/>
          <w:sz w:val="24"/>
          <w:szCs w:val="24"/>
        </w:rPr>
        <w:t>支持取整下达、加码下达或折扣下达的方式，支持不同项目不同的分解方式，选择取整下达时，可以设置取整百或整十，选择加码下达时，可实现预算指标整体按加码百分比下达，也可以选择某几项关键指标加码。</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5、预算控制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5.1</w:t>
      </w:r>
      <w:r>
        <w:rPr>
          <w:rFonts w:hint="eastAsia" w:ascii="仿宋" w:hAnsi="仿宋" w:eastAsia="仿宋" w:cs="仿宋"/>
          <w:sz w:val="24"/>
          <w:szCs w:val="24"/>
          <w:lang w:eastAsia="zh-CN"/>
        </w:rPr>
        <w:t>、</w:t>
      </w:r>
      <w:r>
        <w:rPr>
          <w:rFonts w:hint="eastAsia" w:ascii="仿宋" w:hAnsi="仿宋" w:eastAsia="仿宋" w:cs="仿宋"/>
          <w:sz w:val="24"/>
          <w:szCs w:val="24"/>
        </w:rPr>
        <w:t>系统支持对不同控制项目灵活设置刚性控制、弹性控制、提醒、不控制等多种控制手段</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5.2</w:t>
      </w:r>
      <w:r>
        <w:rPr>
          <w:rFonts w:hint="eastAsia" w:ascii="仿宋" w:hAnsi="仿宋" w:eastAsia="仿宋" w:cs="仿宋"/>
          <w:sz w:val="24"/>
          <w:szCs w:val="24"/>
          <w:lang w:eastAsia="zh-CN"/>
        </w:rPr>
        <w:t>、</w:t>
      </w:r>
      <w:r>
        <w:rPr>
          <w:rFonts w:hint="eastAsia" w:ascii="仿宋" w:hAnsi="仿宋" w:eastAsia="仿宋" w:cs="仿宋"/>
          <w:sz w:val="24"/>
          <w:szCs w:val="24"/>
        </w:rPr>
        <w:t>业务预算、资本预算的控制主要以阀值预警、实时监控、事后分析等形式实现，通过对关键指标设置一定的阀值，通过系统取数功能实时取到预算指标的执行情况，通过指标的实际值和预算值的比较得出预算的执行情况分析，当实际数达到该阀值时系统自动发出预警，提醒预算管理人员及时采取措施进行调整应对，以达到预算控制的目的</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w:t>
      </w:r>
      <w:r>
        <w:rPr>
          <w:rFonts w:hint="eastAsia" w:ascii="仿宋" w:hAnsi="仿宋" w:eastAsia="仿宋" w:cs="仿宋"/>
          <w:sz w:val="24"/>
          <w:szCs w:val="24"/>
          <w:lang w:eastAsia="zh-CN"/>
        </w:rPr>
        <w:t>、</w:t>
      </w:r>
      <w:r>
        <w:rPr>
          <w:rFonts w:hint="eastAsia" w:ascii="仿宋" w:hAnsi="仿宋" w:eastAsia="仿宋" w:cs="仿宋"/>
          <w:sz w:val="24"/>
          <w:szCs w:val="24"/>
        </w:rPr>
        <w:t>财务预算控制采用与财务系统实现自动、实时对接的方式，费用控制通过财务系统进行，支持接口取数，支持机构/部门费用预算追加记录分析功能。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5.3.1</w:t>
      </w:r>
      <w:r>
        <w:rPr>
          <w:rFonts w:hint="eastAsia" w:ascii="仿宋" w:hAnsi="仿宋" w:eastAsia="仿宋" w:cs="仿宋"/>
          <w:sz w:val="24"/>
          <w:szCs w:val="24"/>
          <w:lang w:eastAsia="zh-CN"/>
        </w:rPr>
        <w:t>、</w:t>
      </w:r>
      <w:r>
        <w:rPr>
          <w:rFonts w:hint="eastAsia" w:ascii="仿宋" w:hAnsi="仿宋" w:eastAsia="仿宋" w:cs="仿宋"/>
          <w:sz w:val="24"/>
          <w:szCs w:val="24"/>
        </w:rPr>
        <w:t>实时传送控制数据：全面预算系统可支持各类型财务预算控制规则，自动计算并生成财务控制数据（如根据业务预算情况，计算得实时财务预算控制数据等），实时传送控制数据至财务系统，并且可供财务系统实现实时变更预算数据，保证财务预算控制的及时性、有效性。</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5.3.2</w:t>
      </w:r>
      <w:r>
        <w:rPr>
          <w:rFonts w:hint="eastAsia" w:ascii="仿宋" w:hAnsi="仿宋" w:eastAsia="仿宋" w:cs="仿宋"/>
          <w:sz w:val="24"/>
          <w:szCs w:val="24"/>
          <w:lang w:eastAsia="zh-CN"/>
        </w:rPr>
        <w:t>、</w:t>
      </w:r>
      <w:r>
        <w:rPr>
          <w:rFonts w:hint="eastAsia" w:ascii="仿宋" w:hAnsi="仿宋" w:eastAsia="仿宋" w:cs="仿宋"/>
          <w:sz w:val="24"/>
          <w:szCs w:val="24"/>
        </w:rPr>
        <w:t>实时接收控制数据：财务系统对财务预算进行前端控制并将财务预算控制数据传送至全面预算系统，全面预算系统可实现实时接收控制数据，并实时出具财务预算分析数据，能够反映各预算主体的财务预算使用进度。</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5.3.3</w:t>
      </w:r>
      <w:r>
        <w:rPr>
          <w:rFonts w:hint="eastAsia" w:ascii="仿宋" w:hAnsi="仿宋" w:eastAsia="仿宋" w:cs="仿宋"/>
          <w:sz w:val="24"/>
          <w:szCs w:val="24"/>
          <w:lang w:eastAsia="zh-CN"/>
        </w:rPr>
        <w:t>、</w:t>
      </w:r>
      <w:r>
        <w:rPr>
          <w:rFonts w:hint="eastAsia" w:ascii="仿宋" w:hAnsi="仿宋" w:eastAsia="仿宋" w:cs="仿宋"/>
          <w:sz w:val="24"/>
          <w:szCs w:val="24"/>
        </w:rPr>
        <w:t>实时监控控制情况：根据接收的各系统数据（包括业务数据、财务数据 、资本数据等），按不同规则计算（如定额、定比例、其他计算规则等）及时预警财务预算控制进度，并能够按照实际财务预算使用序时进度，推算预估一定期间内的使用情况以及超出预算的可能性，最终出具有效的分析数据、报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5.3.4</w:t>
      </w:r>
      <w:r>
        <w:rPr>
          <w:rFonts w:hint="eastAsia" w:ascii="仿宋" w:hAnsi="仿宋" w:eastAsia="仿宋" w:cs="仿宋"/>
          <w:sz w:val="24"/>
          <w:szCs w:val="24"/>
          <w:lang w:eastAsia="zh-CN"/>
        </w:rPr>
        <w:t>、</w:t>
      </w:r>
      <w:r>
        <w:rPr>
          <w:rFonts w:hint="eastAsia" w:ascii="仿宋" w:hAnsi="仿宋" w:eastAsia="仿宋" w:cs="仿宋"/>
          <w:sz w:val="24"/>
          <w:szCs w:val="24"/>
        </w:rPr>
        <w:t>财务预算控制后续管理：支持多维度查询财务预算控制数据，出具分析报告，实时控制结果作为预算调整的前提。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5.3.5</w:t>
      </w:r>
      <w:r>
        <w:rPr>
          <w:rFonts w:hint="eastAsia" w:ascii="仿宋" w:hAnsi="仿宋" w:eastAsia="仿宋" w:cs="仿宋"/>
          <w:sz w:val="24"/>
          <w:szCs w:val="24"/>
          <w:lang w:eastAsia="zh-CN"/>
        </w:rPr>
        <w:t>、</w:t>
      </w:r>
      <w:r>
        <w:rPr>
          <w:rFonts w:hint="eastAsia" w:ascii="仿宋" w:hAnsi="仿宋" w:eastAsia="仿宋" w:cs="仿宋"/>
          <w:sz w:val="24"/>
          <w:szCs w:val="24"/>
        </w:rPr>
        <w:t>在费用预算调整生效前，若本次预算调整将超出全年预算，系统自动发出提醒。</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5.4</w:t>
      </w:r>
      <w:r>
        <w:rPr>
          <w:rFonts w:hint="eastAsia" w:ascii="仿宋" w:hAnsi="仿宋" w:eastAsia="仿宋" w:cs="仿宋"/>
          <w:sz w:val="24"/>
          <w:szCs w:val="24"/>
          <w:lang w:eastAsia="zh-CN"/>
        </w:rPr>
        <w:t>、</w:t>
      </w:r>
      <w:r>
        <w:rPr>
          <w:rFonts w:hint="eastAsia" w:ascii="仿宋" w:hAnsi="仿宋" w:eastAsia="仿宋" w:cs="仿宋"/>
          <w:sz w:val="24"/>
          <w:szCs w:val="24"/>
        </w:rPr>
        <w:t>在首页界面展示预算的分析情况，提醒相关管理人员，督促其实现预设目标</w:t>
      </w:r>
      <w:r>
        <w:rPr>
          <w:rFonts w:hint="eastAsia" w:ascii="仿宋" w:hAnsi="仿宋" w:eastAsia="仿宋" w:cs="仿宋"/>
          <w:sz w:val="24"/>
          <w:szCs w:val="24"/>
          <w:lang w:eastAsia="zh-CN"/>
        </w:rPr>
        <w:t>，</w:t>
      </w:r>
      <w:r>
        <w:rPr>
          <w:rFonts w:hint="eastAsia" w:ascii="仿宋" w:hAnsi="仿宋" w:eastAsia="仿宋" w:cs="仿宋"/>
          <w:sz w:val="24"/>
          <w:szCs w:val="24"/>
        </w:rPr>
        <w:t>通过系统的消息功能对部分严重未达标的机构、条线进行提醒。</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5.5</w:t>
      </w:r>
      <w:r>
        <w:rPr>
          <w:rFonts w:hint="eastAsia" w:ascii="仿宋" w:hAnsi="仿宋" w:eastAsia="仿宋" w:cs="仿宋"/>
          <w:sz w:val="24"/>
          <w:szCs w:val="24"/>
          <w:lang w:eastAsia="zh-CN"/>
        </w:rPr>
        <w:t>、</w:t>
      </w:r>
      <w:r>
        <w:rPr>
          <w:rFonts w:hint="eastAsia" w:ascii="仿宋" w:hAnsi="仿宋" w:eastAsia="仿宋" w:cs="仿宋"/>
          <w:sz w:val="24"/>
          <w:szCs w:val="24"/>
        </w:rPr>
        <w:t>支持预算剩余额度提醒功能，通过设定一个或多个临界值比例，预算使用达到该临界值时系统发出提醒。</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6、预算分析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z w:val="24"/>
          <w:szCs w:val="24"/>
          <w:lang w:eastAsia="zh-CN"/>
        </w:rPr>
        <w:t>、</w:t>
      </w:r>
      <w:r>
        <w:rPr>
          <w:rFonts w:hint="eastAsia" w:ascii="仿宋" w:hAnsi="仿宋" w:eastAsia="仿宋" w:cs="仿宋"/>
          <w:sz w:val="24"/>
          <w:szCs w:val="24"/>
        </w:rPr>
        <w:t>分析内容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支持T+1 的各类指标的分析，如业务规模类、盈利指标类、收入费用类等。对关键预算指标如MPA、资本充足率、不良率等完成情况进行动态监控和自动预警，对异常情况进行差异报告，可针对存量、增量或者逾期部分进行分类分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6.2</w:t>
      </w:r>
      <w:r>
        <w:rPr>
          <w:rFonts w:hint="eastAsia" w:ascii="仿宋" w:hAnsi="仿宋" w:eastAsia="仿宋" w:cs="仿宋"/>
          <w:sz w:val="24"/>
          <w:szCs w:val="24"/>
          <w:lang w:eastAsia="zh-CN"/>
        </w:rPr>
        <w:t>、</w:t>
      </w:r>
      <w:r>
        <w:rPr>
          <w:rFonts w:hint="eastAsia" w:ascii="仿宋" w:hAnsi="仿宋" w:eastAsia="仿宋" w:cs="仿宋"/>
          <w:sz w:val="24"/>
          <w:szCs w:val="24"/>
        </w:rPr>
        <w:t>分析形式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支持多样化分析方法， 如同比、趋势、预算完成率、监测标准值等多样分析，支持比率、绝对值及百分比比较。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6.2.1</w:t>
      </w:r>
      <w:r>
        <w:rPr>
          <w:rFonts w:hint="eastAsia" w:ascii="仿宋" w:hAnsi="仿宋" w:eastAsia="仿宋" w:cs="仿宋"/>
          <w:sz w:val="24"/>
          <w:szCs w:val="24"/>
          <w:lang w:eastAsia="zh-CN"/>
        </w:rPr>
        <w:t>、</w:t>
      </w:r>
      <w:r>
        <w:rPr>
          <w:rFonts w:hint="eastAsia" w:ascii="仿宋" w:hAnsi="仿宋" w:eastAsia="仿宋" w:cs="仿宋"/>
          <w:sz w:val="24"/>
          <w:szCs w:val="24"/>
        </w:rPr>
        <w:t>总行计划财务部角度预算分析从全行、条线、一级机构、二级机构的维度层层展开，同时提供分支机构排名、前十、后十等呈现形式。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w:t>
      </w:r>
      <w:r>
        <w:rPr>
          <w:rFonts w:hint="eastAsia" w:ascii="仿宋" w:hAnsi="仿宋" w:eastAsia="仿宋" w:cs="仿宋"/>
          <w:sz w:val="24"/>
          <w:szCs w:val="24"/>
        </w:rPr>
        <w:t>监测结果输出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6.3.1</w:t>
      </w:r>
      <w:r>
        <w:rPr>
          <w:rFonts w:hint="eastAsia" w:ascii="仿宋" w:hAnsi="仿宋" w:eastAsia="仿宋" w:cs="仿宋"/>
          <w:sz w:val="24"/>
          <w:szCs w:val="24"/>
          <w:lang w:eastAsia="zh-CN"/>
        </w:rPr>
        <w:t>、</w:t>
      </w:r>
      <w:r>
        <w:rPr>
          <w:rFonts w:hint="eastAsia" w:ascii="仿宋" w:hAnsi="仿宋" w:eastAsia="仿宋" w:cs="仿宋"/>
          <w:sz w:val="24"/>
          <w:szCs w:val="24"/>
        </w:rPr>
        <w:t>支持多维度查询分析，如条线、机构、 规模、盈利、费用、产品等多维度分析，支持分析数据导出功能，支持在一个界面显示不同预算层级多维度预算执行情况</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6.3.2</w:t>
      </w:r>
      <w:r>
        <w:rPr>
          <w:rFonts w:hint="eastAsia" w:ascii="仿宋" w:hAnsi="仿宋" w:eastAsia="仿宋" w:cs="仿宋"/>
          <w:sz w:val="24"/>
          <w:szCs w:val="24"/>
          <w:lang w:eastAsia="zh-CN"/>
        </w:rPr>
        <w:t>、</w:t>
      </w:r>
      <w:r>
        <w:rPr>
          <w:rFonts w:hint="eastAsia" w:ascii="仿宋" w:hAnsi="仿宋" w:eastAsia="仿宋" w:cs="仿宋"/>
          <w:sz w:val="24"/>
          <w:szCs w:val="24"/>
        </w:rPr>
        <w:t>支持多维度多种预算跟踪表现形式， 例如： 饼状图、柱状图、图表组合等</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6.3.3</w:t>
      </w:r>
      <w:r>
        <w:rPr>
          <w:rFonts w:hint="eastAsia" w:ascii="仿宋" w:hAnsi="仿宋" w:eastAsia="仿宋" w:cs="仿宋"/>
          <w:sz w:val="24"/>
          <w:szCs w:val="24"/>
          <w:lang w:eastAsia="zh-CN"/>
        </w:rPr>
        <w:t>、</w:t>
      </w:r>
      <w:r>
        <w:rPr>
          <w:rFonts w:hint="eastAsia" w:ascii="仿宋" w:hAnsi="仿宋" w:eastAsia="仿宋" w:cs="仿宋"/>
          <w:sz w:val="24"/>
          <w:szCs w:val="24"/>
        </w:rPr>
        <w:t>对分析情况设置不同的条件信息，支持不同分析结果的提示及警示功能</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6.3.4</w:t>
      </w:r>
      <w:r>
        <w:rPr>
          <w:rFonts w:hint="eastAsia" w:ascii="仿宋" w:hAnsi="仿宋" w:eastAsia="仿宋" w:cs="仿宋"/>
          <w:sz w:val="24"/>
          <w:szCs w:val="24"/>
          <w:lang w:eastAsia="zh-CN"/>
        </w:rPr>
        <w:t>、</w:t>
      </w:r>
      <w:r>
        <w:rPr>
          <w:rFonts w:hint="eastAsia" w:ascii="仿宋" w:hAnsi="仿宋" w:eastAsia="仿宋" w:cs="仿宋"/>
          <w:sz w:val="24"/>
          <w:szCs w:val="24"/>
        </w:rPr>
        <w:t>对分析情况及时标记，利用分析工具快速发现差异。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6.4</w:t>
      </w:r>
      <w:r>
        <w:rPr>
          <w:rFonts w:hint="eastAsia" w:ascii="仿宋" w:hAnsi="仿宋" w:eastAsia="仿宋" w:cs="仿宋"/>
          <w:sz w:val="24"/>
          <w:szCs w:val="24"/>
          <w:lang w:eastAsia="zh-CN"/>
        </w:rPr>
        <w:t>、</w:t>
      </w:r>
      <w:r>
        <w:rPr>
          <w:rFonts w:hint="eastAsia" w:ascii="仿宋" w:hAnsi="仿宋" w:eastAsia="仿宋" w:cs="仿宋"/>
          <w:sz w:val="24"/>
          <w:szCs w:val="24"/>
        </w:rPr>
        <w:t>结果校验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通过总账核对、行内系统取数等途径进行分析数据的校验工作。</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7、预算调整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7.1</w:t>
      </w:r>
      <w:r>
        <w:rPr>
          <w:rFonts w:hint="eastAsia" w:ascii="仿宋" w:hAnsi="仿宋" w:eastAsia="仿宋" w:cs="仿宋"/>
          <w:sz w:val="24"/>
          <w:szCs w:val="24"/>
          <w:lang w:eastAsia="zh-CN"/>
        </w:rPr>
        <w:t>、</w:t>
      </w:r>
      <w:r>
        <w:rPr>
          <w:rFonts w:hint="eastAsia" w:ascii="仿宋" w:hAnsi="仿宋" w:eastAsia="仿宋" w:cs="仿宋"/>
          <w:sz w:val="24"/>
          <w:szCs w:val="24"/>
        </w:rPr>
        <w:t>配置灵活的审批流程。根据预算调整的类别，支持多环节的灵活的预算调整审批流程。按调整性质，分为额度内调整和额度外调整；按调整项目，分为业务调整、财务调整等。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7.1.1</w:t>
      </w:r>
      <w:r>
        <w:rPr>
          <w:rFonts w:hint="eastAsia" w:ascii="仿宋" w:hAnsi="仿宋" w:eastAsia="仿宋" w:cs="仿宋"/>
          <w:sz w:val="24"/>
          <w:szCs w:val="24"/>
          <w:lang w:eastAsia="zh-CN"/>
        </w:rPr>
        <w:t>、</w:t>
      </w:r>
      <w:r>
        <w:rPr>
          <w:rFonts w:hint="eastAsia" w:ascii="仿宋" w:hAnsi="仿宋" w:eastAsia="仿宋" w:cs="仿宋"/>
          <w:sz w:val="24"/>
          <w:szCs w:val="24"/>
        </w:rPr>
        <w:t>对于额度内调整在给予分行/中心支行相同科目下的自行审批权</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7.2</w:t>
      </w:r>
      <w:r>
        <w:rPr>
          <w:rFonts w:hint="eastAsia" w:ascii="仿宋" w:hAnsi="仿宋" w:eastAsia="仿宋" w:cs="仿宋"/>
          <w:sz w:val="24"/>
          <w:szCs w:val="24"/>
          <w:lang w:eastAsia="zh-CN"/>
        </w:rPr>
        <w:t>、</w:t>
      </w:r>
      <w:r>
        <w:rPr>
          <w:rFonts w:hint="eastAsia" w:ascii="仿宋" w:hAnsi="仿宋" w:eastAsia="仿宋" w:cs="仿宋"/>
          <w:sz w:val="24"/>
          <w:szCs w:val="24"/>
        </w:rPr>
        <w:t>调整方法。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提供预算整体调整和局部调整等多种调整方法，不同版本的预算提供调整查看和分析对比功能；上级总金额、指标等调整，系统自动计算并提供多版本下级调整方案，并支持手工修改下级调整方案，系统试算出上级调整金额，以供管理人员测算评估并确定最终调整方案。</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7.3</w:t>
      </w:r>
      <w:r>
        <w:rPr>
          <w:rFonts w:hint="eastAsia" w:ascii="仿宋" w:hAnsi="仿宋" w:eastAsia="仿宋" w:cs="仿宋"/>
          <w:sz w:val="24"/>
          <w:szCs w:val="24"/>
          <w:lang w:eastAsia="zh-CN"/>
        </w:rPr>
        <w:t>、</w:t>
      </w:r>
      <w:r>
        <w:rPr>
          <w:rFonts w:hint="eastAsia" w:ascii="仿宋" w:hAnsi="仿宋" w:eastAsia="仿宋" w:cs="仿宋"/>
          <w:sz w:val="24"/>
          <w:szCs w:val="24"/>
        </w:rPr>
        <w:t>模拟运算。</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预算调整时，可设置灵活的调整规则（如指标配比、调整方向设置等）；预算调整后，支持不同运算期间的演算功能，在此基础上支持调整后的预算下达、预算监测功能。</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7.4</w:t>
      </w:r>
      <w:r>
        <w:rPr>
          <w:rFonts w:hint="eastAsia" w:ascii="仿宋" w:hAnsi="仿宋" w:eastAsia="仿宋" w:cs="仿宋"/>
          <w:sz w:val="24"/>
          <w:szCs w:val="24"/>
          <w:lang w:eastAsia="zh-CN"/>
        </w:rPr>
        <w:t>、</w:t>
      </w:r>
      <w:r>
        <w:rPr>
          <w:rFonts w:hint="eastAsia" w:ascii="仿宋" w:hAnsi="仿宋" w:eastAsia="仿宋" w:cs="仿宋"/>
          <w:sz w:val="24"/>
          <w:szCs w:val="24"/>
        </w:rPr>
        <w:t>版本管理。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支持包括调整前调整后所有预算方案版本的保存，调整生效后，仍可对调整前版本进行分析比较，同时支持版本还原。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系统保存多版本预算编制、预算调整的全套数据及方案，可供灵活多维度查询、导出，也可支持数据、方案上传。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系统保存源数据（如外围系统提供的数据等）。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系统支持多版本之间灵活全量、部分组合，自动计算并生成新版本；支持版本权限管理；支持版本的层级隶属关系；系统支持版本数据、报告的灵活有效传递、审核等。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系统支持多版本之间的比较计算分析，生成分析报告。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7.5</w:t>
      </w:r>
      <w:r>
        <w:rPr>
          <w:rFonts w:hint="eastAsia" w:ascii="仿宋" w:hAnsi="仿宋" w:eastAsia="仿宋" w:cs="仿宋"/>
          <w:sz w:val="24"/>
          <w:szCs w:val="24"/>
          <w:lang w:eastAsia="zh-CN"/>
        </w:rPr>
        <w:t>、</w:t>
      </w:r>
      <w:r>
        <w:rPr>
          <w:rFonts w:hint="eastAsia" w:ascii="仿宋" w:hAnsi="仿宋" w:eastAsia="仿宋" w:cs="仿宋"/>
          <w:sz w:val="24"/>
          <w:szCs w:val="24"/>
        </w:rPr>
        <w:t>操作记录。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保留每次有效操作记录、数据调整、清理记录等以备查看。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8、预算考核</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华文仿宋" w:hAnsi="华文仿宋" w:eastAsia="华文仿宋" w:cs="华文仿宋"/>
          <w:b/>
          <w:bCs/>
          <w:sz w:val="28"/>
          <w:szCs w:val="28"/>
          <w:lang w:val="en-US" w:eastAsia="zh-CN"/>
        </w:rPr>
      </w:pPr>
      <w:r>
        <w:rPr>
          <w:rFonts w:hint="eastAsia" w:ascii="仿宋" w:hAnsi="仿宋" w:eastAsia="仿宋" w:cs="仿宋"/>
          <w:sz w:val="24"/>
          <w:szCs w:val="24"/>
        </w:rPr>
        <w:t>根据考核要求，定期将预算执行情况予以向人力资源部反馈。</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华文仿宋" w:hAnsi="华文仿宋" w:eastAsia="华文仿宋" w:cs="华文仿宋"/>
          <w:b/>
          <w:bCs/>
          <w:sz w:val="28"/>
          <w:szCs w:val="28"/>
          <w:lang w:val="en-US" w:eastAsia="zh-CN"/>
        </w:rPr>
      </w:pPr>
      <w:r>
        <w:rPr>
          <w:rFonts w:hint="eastAsia" w:ascii="仿宋" w:hAnsi="仿宋" w:eastAsia="仿宋" w:cs="仿宋"/>
          <w:sz w:val="28"/>
          <w:szCs w:val="28"/>
          <w:lang w:val="en-US" w:eastAsia="zh-CN"/>
        </w:rPr>
        <w:t>4、投标方应在产品上线后提供</w:t>
      </w:r>
      <w:r>
        <w:rPr>
          <w:rFonts w:hint="eastAsia" w:ascii="仿宋" w:hAnsi="仿宋" w:eastAsia="仿宋" w:cs="仿宋"/>
          <w:sz w:val="28"/>
          <w:szCs w:val="28"/>
          <w:highlight w:val="none"/>
          <w:lang w:val="en-US" w:eastAsia="zh-CN"/>
        </w:rPr>
        <w:t>合同约定范围内的全部源码（含</w:t>
      </w:r>
      <w:r>
        <w:rPr>
          <w:rFonts w:hint="eastAsia" w:ascii="仿宋" w:hAnsi="仿宋" w:eastAsia="仿宋" w:cs="仿宋"/>
          <w:sz w:val="28"/>
          <w:szCs w:val="28"/>
          <w:lang w:val="en-US" w:eastAsia="zh-CN"/>
        </w:rPr>
        <w:t>必须的代码注释）、项目文档（包括但不限于技术白皮书、需求文档、设计（数据库、接口）文档、部署手册、维护手册）等。</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i/>
          <w:iCs/>
          <w:sz w:val="24"/>
          <w:szCs w:val="24"/>
          <w:highlight w:val="none"/>
          <w:lang w:val="en-US" w:eastAsia="zh-CN"/>
        </w:rPr>
      </w:pPr>
      <w:r>
        <w:rPr>
          <w:rFonts w:hint="eastAsia" w:ascii="华文仿宋" w:hAnsi="华文仿宋" w:eastAsia="华文仿宋" w:cs="华文仿宋"/>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28"/>
          <w:szCs w:val="28"/>
          <w:lang w:val="en-US" w:eastAsia="zh-CN"/>
        </w:rPr>
      </w:pPr>
      <w:r>
        <w:rPr>
          <w:rFonts w:hint="eastAsia" w:ascii="华文仿宋" w:hAnsi="华文仿宋" w:eastAsia="华文仿宋" w:cs="华文仿宋"/>
          <w:b w:val="0"/>
          <w:bCs w:val="0"/>
          <w:sz w:val="28"/>
          <w:szCs w:val="28"/>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系统架构规划</w:t>
      </w:r>
    </w:p>
    <w:p>
      <w:pPr>
        <w:numPr>
          <w:ilvl w:val="0"/>
          <w:numId w:val="26"/>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系统架构图</w:t>
      </w:r>
      <w:r>
        <w:rPr>
          <w:rFonts w:hint="eastAsia" w:ascii="仿宋" w:hAnsi="仿宋" w:eastAsia="仿宋" w:cs="仿宋"/>
          <w:snapToGrid w:val="0"/>
          <w:color w:val="000000"/>
          <w:sz w:val="22"/>
          <w:szCs w:val="22"/>
          <w:highlight w:val="none"/>
          <w:lang w:eastAsia="zh-CN"/>
        </w:rPr>
        <w:t>（我行已建立</w:t>
      </w:r>
      <w:r>
        <w:rPr>
          <w:rFonts w:hint="eastAsia" w:ascii="仿宋" w:hAnsi="仿宋" w:eastAsia="仿宋" w:cs="仿宋"/>
          <w:snapToGrid w:val="0"/>
          <w:color w:val="000000"/>
          <w:sz w:val="22"/>
          <w:szCs w:val="22"/>
          <w:highlight w:val="none"/>
          <w:lang w:val="en-US" w:eastAsia="zh-CN"/>
        </w:rPr>
        <w:t>ESB企业服务总线、数据总线、业务中台）</w:t>
      </w:r>
      <w:r>
        <w:rPr>
          <w:rFonts w:hint="eastAsia" w:ascii="仿宋" w:hAnsi="仿宋" w:eastAsia="仿宋" w:cs="仿宋"/>
          <w:snapToGrid w:val="0"/>
          <w:color w:val="000000"/>
          <w:sz w:val="28"/>
          <w:szCs w:val="28"/>
          <w:highlight w:val="none"/>
          <w:lang w:val="en-US" w:eastAsia="zh-CN"/>
        </w:rPr>
        <w:t xml:space="preserve">  </w:t>
      </w:r>
      <w:r>
        <w:rPr>
          <w:rFonts w:hint="eastAsia" w:ascii="仿宋" w:hAnsi="仿宋" w:eastAsia="仿宋" w:cs="仿宋"/>
          <w:snapToGrid w:val="0"/>
          <w:color w:val="0000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微软雅黑" w:hAnsi="微软雅黑" w:eastAsia="微软雅黑" w:cs="微软雅黑"/>
          <w:b w:val="0"/>
          <w:i w:val="0"/>
          <w:caps w:val="0"/>
          <w:color w:val="000000"/>
          <w:spacing w:val="0"/>
          <w:sz w:val="21"/>
          <w:szCs w:val="21"/>
          <w:shd w:val="clear" w:fill="FFFFFF"/>
          <w:lang w:eastAsia="zh-CN"/>
        </w:rPr>
      </w:pPr>
    </w:p>
    <w:p>
      <w:pPr>
        <w:numPr>
          <w:ilvl w:val="0"/>
          <w:numId w:val="26"/>
        </w:numPr>
        <w:adjustRightInd w:val="0"/>
        <w:ind w:left="567" w:leftChars="270" w:firstLine="273" w:firstLineChars="0"/>
        <w:rPr>
          <w:rFonts w:hint="eastAsia" w:ascii="仿宋" w:hAnsi="仿宋" w:eastAsia="仿宋" w:cs="仿宋"/>
          <w:snapToGrid w:val="0"/>
          <w:color w:val="000000"/>
          <w:sz w:val="28"/>
          <w:szCs w:val="28"/>
          <w:lang w:val="en-US" w:eastAsia="zh-CN"/>
        </w:rPr>
      </w:pPr>
      <w:r>
        <w:rPr>
          <w:rFonts w:hint="eastAsia" w:ascii="仿宋" w:hAnsi="仿宋" w:eastAsia="仿宋" w:cs="仿宋"/>
          <w:snapToGrid w:val="0"/>
          <w:color w:val="000000"/>
          <w:sz w:val="28"/>
          <w:szCs w:val="28"/>
          <w:lang w:eastAsia="zh-CN"/>
        </w:rPr>
        <w:t>硬件拓补图</w:t>
      </w:r>
      <w:r>
        <w:rPr>
          <w:rFonts w:hint="eastAsia" w:ascii="仿宋" w:hAnsi="仿宋" w:eastAsia="仿宋" w:cs="仿宋"/>
          <w:snapToGrid w:val="0"/>
          <w:color w:val="000000"/>
          <w:sz w:val="22"/>
          <w:szCs w:val="22"/>
          <w:lang w:eastAsia="zh-CN"/>
        </w:rPr>
        <w:t>（</w:t>
      </w:r>
      <w:r>
        <w:rPr>
          <w:rFonts w:hint="eastAsia" w:ascii="仿宋" w:hAnsi="仿宋" w:eastAsia="仿宋" w:cs="仿宋"/>
          <w:snapToGrid w:val="0"/>
          <w:color w:val="000000"/>
          <w:sz w:val="22"/>
          <w:szCs w:val="22"/>
          <w:lang w:val="en-US" w:eastAsia="zh-CN"/>
        </w:rPr>
        <w:t>请从附表</w:t>
      </w:r>
      <w:r>
        <w:rPr>
          <w:rFonts w:hint="eastAsia" w:ascii="华文仿宋" w:hAnsi="华文仿宋" w:eastAsia="华文仿宋" w:cs="华文仿宋"/>
          <w:b w:val="0"/>
          <w:bCs w:val="0"/>
          <w:sz w:val="24"/>
          <w:szCs w:val="24"/>
          <w:highlight w:val="none"/>
          <w:lang w:val="en-US" w:eastAsia="zh-CN"/>
        </w:rPr>
        <w:t>我行</w:t>
      </w:r>
      <w:r>
        <w:rPr>
          <w:rFonts w:hint="eastAsia" w:ascii="仿宋" w:hAnsi="仿宋" w:eastAsia="仿宋" w:cs="仿宋"/>
          <w:snapToGrid w:val="0"/>
          <w:color w:val="000000"/>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华文仿宋" w:hAnsi="华文仿宋" w:eastAsia="华文仿宋" w:cs="华文仿宋"/>
          <w:b w:val="0"/>
          <w:bCs w:val="0"/>
          <w:sz w:val="28"/>
          <w:szCs w:val="28"/>
          <w:highlight w:val="none"/>
          <w:lang w:val="en-US" w:eastAsia="zh-CN"/>
        </w:rPr>
      </w:pPr>
      <w:r>
        <w:rPr>
          <w:rFonts w:hint="eastAsia" w:ascii="华文仿宋" w:hAnsi="华文仿宋" w:eastAsia="华文仿宋" w:cs="华文仿宋"/>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（1）我行支持软件清单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highlight w:val="yellow"/>
                <w:lang w:eastAsia="zh-CN"/>
              </w:rPr>
            </w:pPr>
            <w:r>
              <w:rPr>
                <w:rFonts w:hint="eastAsia" w:ascii="华文仿宋" w:hAnsi="华文仿宋" w:eastAsia="华文仿宋" w:cs="华文仿宋"/>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WIN</w:t>
            </w:r>
            <w:r>
              <w:rPr>
                <w:rFonts w:hint="eastAsia" w:ascii="华文仿宋" w:hAnsi="华文仿宋" w:eastAsia="华文仿宋" w:cs="华文仿宋"/>
                <w:sz w:val="20"/>
                <w:szCs w:val="20"/>
                <w:lang w:val="en-US" w:eastAsia="zh-CN"/>
              </w:rPr>
              <w:t xml:space="preserve">DOWS </w:t>
            </w:r>
            <w:r>
              <w:rPr>
                <w:rFonts w:hint="eastAsia" w:ascii="华文仿宋" w:hAnsi="华文仿宋" w:eastAsia="华文仿宋" w:cs="华文仿宋"/>
                <w:sz w:val="20"/>
                <w:szCs w:val="20"/>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szCs w:val="20"/>
                <w:lang w:val="zh-CN"/>
              </w:rPr>
              <w:t xml:space="preserve">REDHAT </w:t>
            </w:r>
            <w:r>
              <w:rPr>
                <w:rFonts w:hint="eastAsia" w:ascii="华文仿宋" w:hAnsi="华文仿宋" w:eastAsia="华文仿宋" w:cs="华文仿宋"/>
                <w:sz w:val="20"/>
                <w:szCs w:val="20"/>
                <w:lang w:val="en-US" w:eastAsia="zh-CN"/>
              </w:rPr>
              <w:t>LINUX 5.4/</w:t>
            </w:r>
            <w:r>
              <w:rPr>
                <w:rFonts w:hint="eastAsia" w:ascii="华文仿宋" w:hAnsi="华文仿宋" w:eastAsia="华文仿宋" w:cs="华文仿宋"/>
                <w:sz w:val="20"/>
                <w:szCs w:val="20"/>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lang w:val="zh-CN"/>
              </w:rPr>
              <w:t xml:space="preserve">CentOS 7.5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华文仿宋" w:hAnsi="华文仿宋" w:eastAsia="华文仿宋" w:cs="华文仿宋"/>
                <w:sz w:val="20"/>
                <w:szCs w:val="20"/>
                <w:lang w:eastAsia="zh-CN"/>
              </w:rPr>
            </w:pPr>
            <w:r>
              <w:rPr>
                <w:rFonts w:hint="eastAsia" w:ascii="华文仿宋" w:hAnsi="华文仿宋" w:eastAsia="华文仿宋" w:cs="华文仿宋"/>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 xml:space="preserve">WAS </w:t>
            </w:r>
            <w:r>
              <w:rPr>
                <w:rFonts w:hint="eastAsia" w:ascii="华文仿宋" w:hAnsi="华文仿宋" w:eastAsia="华文仿宋" w:cs="华文仿宋"/>
                <w:sz w:val="20"/>
                <w:szCs w:val="20"/>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 xml:space="preserve">Tomcat </w:t>
            </w:r>
            <w:r>
              <w:rPr>
                <w:rFonts w:hint="eastAsia" w:ascii="华文仿宋" w:hAnsi="华文仿宋" w:eastAsia="华文仿宋" w:cs="华文仿宋"/>
                <w:sz w:val="20"/>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zh-CN"/>
              </w:rPr>
            </w:pPr>
            <w:r>
              <w:rPr>
                <w:rFonts w:hint="eastAsia" w:ascii="华文仿宋" w:hAnsi="华文仿宋" w:eastAsia="华文仿宋" w:cs="华文仿宋"/>
                <w:sz w:val="20"/>
                <w:lang w:val="zh-CN"/>
              </w:rPr>
              <w:t>Nginx</w:t>
            </w:r>
            <w:r>
              <w:rPr>
                <w:rFonts w:hint="eastAsia" w:ascii="华文仿宋" w:hAnsi="华文仿宋" w:eastAsia="华文仿宋" w:cs="华文仿宋"/>
                <w:sz w:val="20"/>
                <w:lang w:val="en-US" w:eastAsia="zh-CN"/>
              </w:rPr>
              <w:t xml:space="preserve"> </w:t>
            </w:r>
            <w:r>
              <w:rPr>
                <w:rFonts w:hint="eastAsia" w:ascii="华文仿宋" w:hAnsi="华文仿宋" w:eastAsia="华文仿宋" w:cs="华文仿宋"/>
                <w:sz w:val="20"/>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r>
              <w:rPr>
                <w:rFonts w:hint="eastAsia" w:ascii="华文仿宋" w:hAnsi="华文仿宋" w:eastAsia="华文仿宋" w:cs="华文仿宋"/>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华文仿宋" w:hAnsi="华文仿宋" w:eastAsia="华文仿宋" w:cs="华文仿宋"/>
                <w:sz w:val="20"/>
                <w:szCs w:val="20"/>
              </w:rPr>
            </w:pPr>
          </w:p>
        </w:tc>
      </w:tr>
    </w:tbl>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widowControl w:val="0"/>
        <w:numPr>
          <w:ilvl w:val="0"/>
          <w:numId w:val="0"/>
        </w:numPr>
        <w:adjustRightInd w:val="0"/>
        <w:jc w:val="both"/>
        <w:rPr>
          <w:rFonts w:hint="eastAsia" w:ascii="仿宋" w:hAnsi="仿宋" w:eastAsia="仿宋" w:cs="仿宋"/>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华文仿宋" w:hAnsi="华文仿宋" w:eastAsia="华文仿宋" w:cs="华文仿宋"/>
          <w:b w:val="0"/>
          <w:bCs w:val="0"/>
          <w:sz w:val="24"/>
          <w:szCs w:val="24"/>
          <w:highlight w:val="none"/>
          <w:lang w:val="en-US" w:eastAsia="zh-CN"/>
        </w:rPr>
      </w:pPr>
      <w:r>
        <w:rPr>
          <w:rFonts w:hint="eastAsia" w:ascii="华文仿宋" w:hAnsi="华文仿宋" w:eastAsia="华文仿宋" w:cs="华文仿宋"/>
          <w:b w:val="0"/>
          <w:bCs w:val="0"/>
          <w:sz w:val="24"/>
          <w:szCs w:val="24"/>
          <w:highlight w:val="none"/>
          <w:lang w:val="en-US" w:eastAsia="zh-CN"/>
        </w:rPr>
        <w:t>（2）我行支持硬件清单</w:t>
      </w:r>
    </w:p>
    <w:tbl>
      <w:tblPr>
        <w:tblStyle w:val="33"/>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华文仿宋" w:hAnsi="华文仿宋" w:eastAsia="华文仿宋" w:cs="华文仿宋"/>
                <w:b/>
                <w:bCs/>
                <w:sz w:val="22"/>
                <w:szCs w:val="22"/>
                <w:vertAlign w:val="baseline"/>
                <w:lang w:val="en-US" w:eastAsia="zh-CN"/>
              </w:rPr>
            </w:pPr>
            <w:r>
              <w:rPr>
                <w:rFonts w:hint="eastAsia" w:ascii="华文仿宋" w:hAnsi="华文仿宋" w:eastAsia="华文仿宋" w:cs="华文仿宋"/>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val="0"/>
                <w:bCs w:val="0"/>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r>
              <w:rPr>
                <w:rFonts w:hint="eastAsia" w:ascii="华文仿宋" w:hAnsi="华文仿宋" w:eastAsia="华文仿宋" w:cs="华文仿宋"/>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华文仿宋" w:hAnsi="华文仿宋" w:eastAsia="华文仿宋" w:cs="华文仿宋"/>
                <w:b/>
                <w:bCs/>
                <w:sz w:val="18"/>
                <w:szCs w:val="18"/>
                <w:vertAlign w:val="baseline"/>
                <w:lang w:val="en-US" w:eastAsia="zh-CN"/>
              </w:rPr>
            </w:pPr>
          </w:p>
        </w:tc>
      </w:tr>
    </w:tbl>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numPr>
          <w:ilvl w:val="0"/>
          <w:numId w:val="0"/>
        </w:numPr>
        <w:adjustRightInd w:val="0"/>
        <w:ind w:leftChars="270"/>
        <w:rPr>
          <w:rFonts w:hint="eastAsia" w:ascii="仿宋" w:hAnsi="仿宋" w:eastAsia="仿宋" w:cs="仿宋"/>
          <w:b w:val="0"/>
          <w:bCs w:val="0"/>
          <w:snapToGrid w:val="0"/>
          <w:color w:val="000000"/>
          <w:sz w:val="16"/>
          <w:szCs w:val="16"/>
          <w:highlight w:val="none"/>
          <w:lang w:val="en-US" w:eastAsia="zh-CN"/>
        </w:rPr>
      </w:pPr>
    </w:p>
    <w:p>
      <w:pPr>
        <w:pStyle w:val="3"/>
        <w:spacing w:after="0" w:line="240" w:lineRule="auto"/>
        <w:jc w:val="left"/>
        <w:rPr>
          <w:rFonts w:hint="eastAsia" w:ascii="仿宋" w:hAnsi="仿宋" w:eastAsia="仿宋" w:cs="仿宋"/>
          <w:b w:val="0"/>
          <w:bCs w:val="0"/>
          <w:snapToGrid w:val="0"/>
          <w:color w:val="000000"/>
          <w:kern w:val="2"/>
          <w:sz w:val="28"/>
          <w:szCs w:val="28"/>
          <w:lang w:val="en-US" w:eastAsia="zh-CN" w:bidi="ar-SA"/>
        </w:rPr>
      </w:pPr>
      <w:r>
        <w:rPr>
          <w:rFonts w:hint="eastAsia" w:ascii="仿宋" w:hAnsi="仿宋" w:eastAsia="仿宋" w:cs="仿宋"/>
          <w:b w:val="0"/>
          <w:bCs w:val="0"/>
          <w:snapToGrid w:val="0"/>
          <w:color w:val="000000"/>
          <w:kern w:val="2"/>
          <w:sz w:val="28"/>
          <w:szCs w:val="28"/>
          <w:lang w:val="en-US" w:eastAsia="zh-CN" w:bidi="ar-SA"/>
        </w:rPr>
        <w:t>附件7：产品功能表</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产品功能/应用/模块</w:t>
            </w:r>
          </w:p>
        </w:tc>
        <w:tc>
          <w:tcPr>
            <w:tcW w:w="3937"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对应需求点</w:t>
            </w:r>
          </w:p>
        </w:tc>
        <w:tc>
          <w:tcPr>
            <w:tcW w:w="2160" w:type="dxa"/>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 w:hAnsi="仿宋" w:eastAsia="仿宋" w:cs="仿宋"/>
                <w:sz w:val="24"/>
                <w:szCs w:val="24"/>
                <w:vertAlign w:val="baseline"/>
                <w:lang w:val="en-US" w:eastAsia="zh-CN"/>
              </w:rPr>
            </w:pPr>
          </w:p>
        </w:tc>
        <w:tc>
          <w:tcPr>
            <w:tcW w:w="3937" w:type="dxa"/>
            <w:vAlign w:val="center"/>
          </w:tcPr>
          <w:p>
            <w:pPr>
              <w:jc w:val="both"/>
              <w:rPr>
                <w:rFonts w:hint="eastAsia" w:ascii="仿宋" w:hAnsi="仿宋" w:eastAsia="仿宋" w:cs="仿宋"/>
                <w:sz w:val="24"/>
                <w:szCs w:val="24"/>
                <w:vertAlign w:val="baseline"/>
                <w:lang w:val="en-US" w:eastAsia="zh-CN"/>
              </w:rPr>
            </w:pPr>
          </w:p>
        </w:tc>
        <w:tc>
          <w:tcPr>
            <w:tcW w:w="2160" w:type="dxa"/>
            <w:vAlign w:val="center"/>
          </w:tcPr>
          <w:p>
            <w:pPr>
              <w:jc w:val="both"/>
              <w:rPr>
                <w:rFonts w:hint="eastAsia" w:ascii="仿宋" w:hAnsi="仿宋" w:eastAsia="仿宋" w:cs="仿宋"/>
                <w:sz w:val="24"/>
                <w:szCs w:val="24"/>
                <w:vertAlign w:val="baseline"/>
                <w:lang w:val="en-US" w:eastAsia="zh-CN"/>
              </w:rPr>
            </w:pPr>
          </w:p>
        </w:tc>
      </w:tr>
    </w:tbl>
    <w:p>
      <w:pPr>
        <w:rPr>
          <w:rFonts w:hint="eastAsia" w:ascii="宋体" w:hAnsi="宋体"/>
          <w:sz w:val="28"/>
          <w:szCs w:val="28"/>
          <w:lang w:val="en-US" w:eastAsia="zh-CN"/>
        </w:rPr>
      </w:pPr>
    </w:p>
    <w:p>
      <w:pPr>
        <w:rPr>
          <w:rFonts w:hint="eastAsia" w:ascii="宋体" w:hAnsi="宋体"/>
          <w:sz w:val="28"/>
          <w:szCs w:val="28"/>
          <w:lang w:val="en-US" w:eastAsia="zh-CN"/>
        </w:rPr>
      </w:pPr>
    </w:p>
    <w:p>
      <w:pPr>
        <w:pStyle w:val="3"/>
        <w:spacing w:after="0" w:line="240" w:lineRule="auto"/>
        <w:jc w:val="left"/>
        <w:rPr>
          <w:rFonts w:ascii="宋体" w:hAnsi="宋体" w:eastAsia="宋体"/>
          <w:b w:val="0"/>
          <w:sz w:val="28"/>
          <w:szCs w:val="28"/>
          <w:highlight w:val="yellow"/>
        </w:rPr>
      </w:pPr>
      <w:r>
        <w:rPr>
          <w:rFonts w:hint="eastAsia" w:ascii="仿宋" w:hAnsi="仿宋" w:eastAsia="仿宋" w:cs="仿宋"/>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项目实施人员一览表</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角色</w:t>
            </w:r>
          </w:p>
        </w:tc>
        <w:tc>
          <w:tcPr>
            <w:tcW w:w="109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姓名</w:t>
            </w:r>
          </w:p>
        </w:tc>
        <w:tc>
          <w:tcPr>
            <w:tcW w:w="84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公司职务</w:t>
            </w:r>
          </w:p>
        </w:tc>
        <w:tc>
          <w:tcPr>
            <w:tcW w:w="683"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工作年限</w:t>
            </w:r>
          </w:p>
        </w:tc>
        <w:tc>
          <w:tcPr>
            <w:tcW w:w="1915"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参与阶段/主要工作</w:t>
            </w:r>
          </w:p>
        </w:tc>
        <w:tc>
          <w:tcPr>
            <w:tcW w:w="1364"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进场时间</w:t>
            </w:r>
          </w:p>
        </w:tc>
        <w:tc>
          <w:tcPr>
            <w:tcW w:w="1417" w:type="dxa"/>
            <w:vAlign w:val="center"/>
          </w:tcPr>
          <w:p>
            <w:pPr>
              <w:snapToGrid w:val="0"/>
              <w:jc w:val="center"/>
              <w:rPr>
                <w:rFonts w:hint="eastAsia" w:ascii="仿宋" w:hAnsi="仿宋" w:eastAsia="仿宋" w:cs="仿宋"/>
                <w:b/>
                <w:sz w:val="21"/>
                <w:szCs w:val="21"/>
              </w:rPr>
            </w:pPr>
            <w:r>
              <w:rPr>
                <w:rFonts w:hint="eastAsia" w:ascii="仿宋" w:hAnsi="仿宋" w:eastAsia="仿宋" w:cs="仿宋"/>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项目经理</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需求分析</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系统设计</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软件工程师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测试工程师</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r>
              <w:rPr>
                <w:rFonts w:hint="eastAsia" w:ascii="仿宋" w:hAnsi="仿宋" w:eastAsia="仿宋" w:cs="仿宋"/>
                <w:sz w:val="24"/>
                <w:szCs w:val="24"/>
              </w:rPr>
              <w:t>……</w:t>
            </w: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 w:hAnsi="仿宋" w:eastAsia="仿宋" w:cs="仿宋"/>
                <w:sz w:val="24"/>
                <w:szCs w:val="24"/>
              </w:rPr>
            </w:pPr>
          </w:p>
        </w:tc>
        <w:tc>
          <w:tcPr>
            <w:tcW w:w="1095" w:type="dxa"/>
            <w:vAlign w:val="center"/>
          </w:tcPr>
          <w:p>
            <w:pPr>
              <w:spacing w:line="300" w:lineRule="auto"/>
              <w:rPr>
                <w:rFonts w:hint="eastAsia" w:ascii="仿宋" w:hAnsi="仿宋" w:eastAsia="仿宋" w:cs="仿宋"/>
                <w:sz w:val="24"/>
                <w:szCs w:val="24"/>
              </w:rPr>
            </w:pPr>
          </w:p>
        </w:tc>
        <w:tc>
          <w:tcPr>
            <w:tcW w:w="847" w:type="dxa"/>
          </w:tcPr>
          <w:p>
            <w:pPr>
              <w:spacing w:line="300" w:lineRule="auto"/>
              <w:rPr>
                <w:rFonts w:hint="eastAsia" w:ascii="仿宋" w:hAnsi="仿宋" w:eastAsia="仿宋" w:cs="仿宋"/>
                <w:sz w:val="24"/>
                <w:szCs w:val="24"/>
              </w:rPr>
            </w:pPr>
          </w:p>
        </w:tc>
        <w:tc>
          <w:tcPr>
            <w:tcW w:w="683" w:type="dxa"/>
          </w:tcPr>
          <w:p>
            <w:pPr>
              <w:spacing w:line="300" w:lineRule="auto"/>
              <w:rPr>
                <w:rFonts w:hint="eastAsia" w:ascii="仿宋" w:hAnsi="仿宋" w:eastAsia="仿宋" w:cs="仿宋"/>
                <w:sz w:val="24"/>
                <w:szCs w:val="24"/>
              </w:rPr>
            </w:pPr>
          </w:p>
        </w:tc>
        <w:tc>
          <w:tcPr>
            <w:tcW w:w="1915" w:type="dxa"/>
            <w:vAlign w:val="center"/>
          </w:tcPr>
          <w:p>
            <w:pPr>
              <w:spacing w:line="300" w:lineRule="auto"/>
              <w:rPr>
                <w:rFonts w:hint="eastAsia" w:ascii="仿宋" w:hAnsi="仿宋" w:eastAsia="仿宋" w:cs="仿宋"/>
                <w:sz w:val="24"/>
                <w:szCs w:val="24"/>
              </w:rPr>
            </w:pPr>
          </w:p>
        </w:tc>
        <w:tc>
          <w:tcPr>
            <w:tcW w:w="1364" w:type="dxa"/>
            <w:vAlign w:val="center"/>
          </w:tcPr>
          <w:p>
            <w:pPr>
              <w:spacing w:line="300" w:lineRule="auto"/>
              <w:rPr>
                <w:rFonts w:hint="eastAsia" w:ascii="仿宋" w:hAnsi="仿宋" w:eastAsia="仿宋" w:cs="仿宋"/>
                <w:sz w:val="24"/>
                <w:szCs w:val="24"/>
              </w:rPr>
            </w:pPr>
          </w:p>
        </w:tc>
        <w:tc>
          <w:tcPr>
            <w:tcW w:w="1417" w:type="dxa"/>
            <w:vAlign w:val="center"/>
          </w:tcPr>
          <w:p>
            <w:pPr>
              <w:spacing w:line="300" w:lineRule="auto"/>
              <w:rPr>
                <w:rFonts w:hint="eastAsia" w:ascii="仿宋" w:hAnsi="仿宋" w:eastAsia="仿宋" w:cs="仿宋"/>
                <w:sz w:val="24"/>
                <w:szCs w:val="24"/>
              </w:rPr>
            </w:pPr>
          </w:p>
        </w:tc>
      </w:tr>
    </w:tbl>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720"/>
        </w:tabs>
        <w:spacing w:line="300" w:lineRule="auto"/>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年</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月</w:t>
      </w:r>
      <w:r>
        <w:rPr>
          <w:rFonts w:hint="eastAsia" w:ascii="仿宋" w:hAnsi="仿宋" w:eastAsia="仿宋" w:cs="仿宋"/>
          <w:snapToGrid w:val="0"/>
          <w:color w:val="000000"/>
          <w:sz w:val="28"/>
          <w:szCs w:val="28"/>
          <w:u w:val="single"/>
        </w:rPr>
        <w:t xml:space="preserve">     </w:t>
      </w:r>
      <w:r>
        <w:rPr>
          <w:rFonts w:hint="eastAsia" w:ascii="仿宋" w:hAnsi="仿宋" w:eastAsia="仿宋" w:cs="仿宋"/>
          <w:snapToGrid w:val="0"/>
          <w:color w:val="000000"/>
          <w:sz w:val="28"/>
          <w:szCs w:val="28"/>
        </w:rPr>
        <w:t>日</w:t>
      </w:r>
      <w:r>
        <w:rPr>
          <w:rFonts w:hint="eastAsia" w:ascii="仿宋" w:hAnsi="仿宋" w:eastAsia="仿宋" w:cs="仿宋"/>
          <w:bCs/>
          <w:snapToGrid w:val="0"/>
          <w:sz w:val="28"/>
          <w:szCs w:val="28"/>
        </w:rPr>
        <w:tab/>
      </w:r>
    </w:p>
    <w:p>
      <w:pPr>
        <w:tabs>
          <w:tab w:val="left" w:pos="720"/>
        </w:tabs>
        <w:spacing w:line="300" w:lineRule="auto"/>
        <w:rPr>
          <w:rFonts w:hint="eastAsia" w:ascii="仿宋" w:hAnsi="仿宋" w:eastAsia="仿宋" w:cs="仿宋"/>
          <w:b/>
          <w:sz w:val="28"/>
          <w:szCs w:val="28"/>
        </w:rPr>
      </w:pPr>
    </w:p>
    <w:p>
      <w:pPr>
        <w:tabs>
          <w:tab w:val="left" w:pos="720"/>
        </w:tabs>
        <w:spacing w:line="300" w:lineRule="auto"/>
        <w:rPr>
          <w:rFonts w:hint="eastAsia" w:ascii="仿宋" w:hAnsi="仿宋" w:eastAsia="仿宋" w:cs="仿宋"/>
          <w:b/>
          <w:sz w:val="28"/>
          <w:szCs w:val="28"/>
        </w:rPr>
      </w:pPr>
    </w:p>
    <w:p>
      <w:pPr>
        <w:tabs>
          <w:tab w:val="left" w:pos="720"/>
        </w:tabs>
        <w:spacing w:line="300"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lang w:eastAsia="zh-CN"/>
        </w:rPr>
        <w:t>项目成</w:t>
      </w:r>
      <w:r>
        <w:rPr>
          <w:rFonts w:hint="eastAsia" w:ascii="仿宋" w:hAnsi="仿宋" w:eastAsia="仿宋" w:cs="仿宋"/>
          <w:b/>
          <w:sz w:val="28"/>
          <w:szCs w:val="28"/>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姓  名</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年  龄</w:t>
            </w:r>
          </w:p>
        </w:tc>
        <w:tc>
          <w:tcPr>
            <w:tcW w:w="2846" w:type="dxa"/>
            <w:gridSpan w:val="2"/>
            <w:shd w:val="clear" w:color="auto" w:fill="auto"/>
            <w:vAlign w:val="center"/>
          </w:tcPr>
          <w:p>
            <w:pPr>
              <w:snapToGrid w:val="0"/>
              <w:spacing w:line="288" w:lineRule="auto"/>
              <w:jc w:val="both"/>
              <w:rPr>
                <w:rFonts w:hint="eastAsia" w:ascii="仿宋" w:hAnsi="仿宋" w:eastAsia="仿宋" w:cs="仿宋"/>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毕业学校</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学  历</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专  业</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工作年限</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现所在部门</w:t>
            </w:r>
          </w:p>
        </w:tc>
        <w:tc>
          <w:tcPr>
            <w:tcW w:w="2331" w:type="dxa"/>
            <w:shd w:val="clear" w:color="auto" w:fill="auto"/>
            <w:vAlign w:val="center"/>
          </w:tcPr>
          <w:p>
            <w:pPr>
              <w:snapToGrid w:val="0"/>
              <w:spacing w:line="288" w:lineRule="auto"/>
              <w:jc w:val="both"/>
              <w:rPr>
                <w:rFonts w:hint="eastAsia" w:ascii="仿宋" w:hAnsi="仿宋" w:eastAsia="仿宋" w:cs="仿宋"/>
                <w:sz w:val="24"/>
                <w:szCs w:val="24"/>
              </w:rPr>
            </w:pPr>
          </w:p>
        </w:tc>
        <w:tc>
          <w:tcPr>
            <w:tcW w:w="1710" w:type="dxa"/>
            <w:gridSpan w:val="2"/>
            <w:shd w:val="clear" w:color="auto" w:fill="auto"/>
            <w:vAlign w:val="center"/>
          </w:tcPr>
          <w:p>
            <w:pPr>
              <w:snapToGrid w:val="0"/>
              <w:spacing w:line="288" w:lineRule="auto"/>
              <w:jc w:val="both"/>
              <w:rPr>
                <w:rFonts w:hint="eastAsia" w:ascii="仿宋" w:hAnsi="仿宋" w:eastAsia="仿宋" w:cs="仿宋"/>
                <w:sz w:val="24"/>
                <w:szCs w:val="24"/>
              </w:rPr>
            </w:pPr>
            <w:r>
              <w:rPr>
                <w:rFonts w:hint="eastAsia" w:ascii="仿宋" w:hAnsi="仿宋" w:eastAsia="仿宋" w:cs="仿宋"/>
                <w:sz w:val="24"/>
                <w:szCs w:val="24"/>
              </w:rPr>
              <w:t>职务/职称</w:t>
            </w:r>
          </w:p>
        </w:tc>
        <w:tc>
          <w:tcPr>
            <w:tcW w:w="2846" w:type="dxa"/>
            <w:gridSpan w:val="2"/>
            <w:shd w:val="clear" w:color="auto" w:fill="auto"/>
            <w:vAlign w:val="center"/>
          </w:tcPr>
          <w:p>
            <w:pPr>
              <w:snapToGrid w:val="0"/>
              <w:spacing w:line="288"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6887" w:type="dxa"/>
            <w:gridSpan w:val="5"/>
            <w:shd w:val="clear" w:color="auto" w:fill="auto"/>
            <w:vAlign w:val="center"/>
          </w:tcPr>
          <w:p>
            <w:pPr>
              <w:snapToGrid w:val="0"/>
              <w:spacing w:line="312" w:lineRule="auto"/>
              <w:jc w:val="both"/>
              <w:rPr>
                <w:rFonts w:hint="eastAsia" w:ascii="仿宋" w:hAnsi="仿宋" w:eastAsia="仿宋" w:cs="仿宋"/>
                <w:sz w:val="24"/>
                <w:szCs w:val="24"/>
              </w:rPr>
            </w:pPr>
            <w:r>
              <w:rPr>
                <w:rFonts w:hint="eastAsia" w:ascii="仿宋" w:hAnsi="仿宋" w:eastAsia="仿宋" w:cs="仿宋"/>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专业资质&amp;认证</w:t>
            </w:r>
          </w:p>
        </w:tc>
        <w:tc>
          <w:tcPr>
            <w:tcW w:w="6887" w:type="dxa"/>
            <w:gridSpan w:val="5"/>
            <w:shd w:val="clear" w:color="auto" w:fill="auto"/>
            <w:vAlign w:val="center"/>
          </w:tcPr>
          <w:p>
            <w:pPr>
              <w:spacing w:line="360" w:lineRule="auto"/>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专业技能简介</w:t>
            </w:r>
          </w:p>
        </w:tc>
        <w:tc>
          <w:tcPr>
            <w:tcW w:w="6887" w:type="dxa"/>
            <w:gridSpan w:val="5"/>
            <w:shd w:val="clear" w:color="auto" w:fill="auto"/>
            <w:vAlign w:val="center"/>
          </w:tcPr>
          <w:p>
            <w:pPr>
              <w:jc w:val="both"/>
              <w:rPr>
                <w:rFonts w:hint="eastAsia" w:ascii="仿宋" w:hAnsi="仿宋" w:eastAsia="仿宋" w:cs="仿宋"/>
                <w:sz w:val="24"/>
                <w:szCs w:val="24"/>
              </w:rPr>
            </w:pPr>
            <w:r>
              <w:rPr>
                <w:rFonts w:hint="eastAsia" w:ascii="仿宋" w:hAnsi="仿宋" w:eastAsia="仿宋" w:cs="仿宋"/>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工作经历(</w:t>
            </w:r>
            <w:r>
              <w:rPr>
                <w:rFonts w:hint="eastAsia" w:ascii="仿宋" w:hAnsi="仿宋" w:eastAsia="仿宋" w:cs="仿宋"/>
                <w:sz w:val="24"/>
                <w:szCs w:val="24"/>
                <w:highlight w:val="none"/>
                <w:lang w:eastAsia="zh-CN"/>
              </w:rPr>
              <w:t>所有</w:t>
            </w:r>
            <w:r>
              <w:rPr>
                <w:rFonts w:hint="eastAsia" w:ascii="仿宋" w:hAnsi="仿宋" w:eastAsia="仿宋" w:cs="仿宋"/>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范例：</w:t>
            </w:r>
          </w:p>
          <w:p>
            <w:pPr>
              <w:numPr>
                <w:ilvl w:val="0"/>
                <w:numId w:val="27"/>
              </w:numPr>
              <w:snapToGrid w:val="0"/>
              <w:spacing w:line="312" w:lineRule="auto"/>
              <w:ind w:left="357" w:hanging="357"/>
              <w:jc w:val="both"/>
              <w:rPr>
                <w:rFonts w:hint="eastAsia" w:ascii="仿宋" w:hAnsi="仿宋" w:eastAsia="仿宋" w:cs="仿宋"/>
                <w:i w:val="0"/>
                <w:iCs w:val="0"/>
                <w:sz w:val="22"/>
                <w:szCs w:val="22"/>
                <w:highlight w:val="none"/>
              </w:rPr>
            </w:pPr>
            <w:r>
              <w:rPr>
                <w:rFonts w:hint="eastAsia" w:ascii="仿宋" w:hAnsi="仿宋" w:eastAsia="仿宋" w:cs="仿宋"/>
                <w:i w:val="0"/>
                <w:iCs w:val="0"/>
                <w:sz w:val="22"/>
                <w:szCs w:val="22"/>
                <w:highlight w:val="none"/>
              </w:rPr>
              <w:t>2008.7</w:t>
            </w:r>
            <w:r>
              <w:rPr>
                <w:rFonts w:hint="eastAsia" w:ascii="仿宋" w:hAnsi="仿宋" w:eastAsia="仿宋" w:cs="仿宋"/>
                <w:i w:val="0"/>
                <w:iCs w:val="0"/>
                <w:sz w:val="22"/>
                <w:szCs w:val="22"/>
                <w:highlight w:val="none"/>
                <w:lang w:eastAsia="zh-CN"/>
              </w:rPr>
              <w:t>至</w:t>
            </w:r>
            <w:r>
              <w:rPr>
                <w:rFonts w:hint="eastAsia" w:ascii="仿宋" w:hAnsi="仿宋" w:eastAsia="仿宋" w:cs="仿宋"/>
                <w:i w:val="0"/>
                <w:iCs w:val="0"/>
                <w:sz w:val="22"/>
                <w:szCs w:val="22"/>
                <w:highlight w:val="none"/>
              </w:rPr>
              <w:t>今, xxxxx公司，xxx职务/岗位 (时间倒序)</w:t>
            </w:r>
          </w:p>
          <w:p>
            <w:pPr>
              <w:numPr>
                <w:ilvl w:val="0"/>
                <w:numId w:val="27"/>
              </w:numPr>
              <w:snapToGrid w:val="0"/>
              <w:spacing w:line="312" w:lineRule="auto"/>
              <w:ind w:left="357" w:hanging="357"/>
              <w:jc w:val="both"/>
              <w:rPr>
                <w:rFonts w:hint="eastAsia" w:ascii="仿宋" w:hAnsi="仿宋" w:eastAsia="仿宋" w:cs="仿宋"/>
                <w:sz w:val="24"/>
                <w:szCs w:val="24"/>
                <w:highlight w:val="none"/>
              </w:rPr>
            </w:pPr>
            <w:r>
              <w:rPr>
                <w:rFonts w:hint="eastAsia" w:ascii="仿宋" w:hAnsi="仿宋" w:eastAsia="仿宋" w:cs="仿宋"/>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参加起/止日期</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近3年参加的类似项目名称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项目角色</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范例：2009.5 ～2010.9</w:t>
            </w:r>
          </w:p>
        </w:tc>
        <w:tc>
          <w:tcPr>
            <w:tcW w:w="3739"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xxx客户xxxx项目名称</w:t>
            </w:r>
          </w:p>
        </w:tc>
        <w:tc>
          <w:tcPr>
            <w:tcW w:w="1413" w:type="dxa"/>
            <w:gridSpan w:val="2"/>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咨询顾问</w:t>
            </w:r>
          </w:p>
        </w:tc>
        <w:tc>
          <w:tcPr>
            <w:tcW w:w="1735" w:type="dxa"/>
            <w:shd w:val="clear" w:color="auto" w:fill="auto"/>
            <w:vAlign w:val="center"/>
          </w:tcPr>
          <w:p>
            <w:pPr>
              <w:snapToGrid w:val="0"/>
              <w:jc w:val="both"/>
              <w:rPr>
                <w:rFonts w:hint="eastAsia" w:ascii="仿宋" w:hAnsi="仿宋" w:eastAsia="仿宋" w:cs="仿宋"/>
                <w:sz w:val="24"/>
                <w:szCs w:val="24"/>
              </w:rPr>
            </w:pPr>
            <w:r>
              <w:rPr>
                <w:rFonts w:hint="eastAsia" w:ascii="仿宋" w:hAnsi="仿宋" w:eastAsia="仿宋" w:cs="仿宋"/>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 w:hAnsi="仿宋" w:eastAsia="仿宋" w:cs="仿宋"/>
                <w:sz w:val="24"/>
                <w:szCs w:val="24"/>
              </w:rPr>
            </w:pPr>
          </w:p>
        </w:tc>
        <w:tc>
          <w:tcPr>
            <w:tcW w:w="3739" w:type="dxa"/>
            <w:gridSpan w:val="2"/>
            <w:shd w:val="clear" w:color="auto" w:fill="auto"/>
            <w:vAlign w:val="center"/>
          </w:tcPr>
          <w:p>
            <w:pPr>
              <w:snapToGrid w:val="0"/>
              <w:jc w:val="both"/>
              <w:rPr>
                <w:rFonts w:hint="eastAsia" w:ascii="仿宋" w:hAnsi="仿宋" w:eastAsia="仿宋" w:cs="仿宋"/>
                <w:sz w:val="24"/>
                <w:szCs w:val="24"/>
              </w:rPr>
            </w:pPr>
          </w:p>
        </w:tc>
        <w:tc>
          <w:tcPr>
            <w:tcW w:w="1413" w:type="dxa"/>
            <w:gridSpan w:val="2"/>
            <w:shd w:val="clear" w:color="auto" w:fill="auto"/>
            <w:vAlign w:val="center"/>
          </w:tcPr>
          <w:p>
            <w:pPr>
              <w:snapToGrid w:val="0"/>
              <w:jc w:val="both"/>
              <w:rPr>
                <w:rFonts w:hint="eastAsia" w:ascii="仿宋" w:hAnsi="仿宋" w:eastAsia="仿宋" w:cs="仿宋"/>
                <w:sz w:val="24"/>
                <w:szCs w:val="24"/>
              </w:rPr>
            </w:pPr>
          </w:p>
        </w:tc>
        <w:tc>
          <w:tcPr>
            <w:tcW w:w="1735" w:type="dxa"/>
            <w:shd w:val="clear" w:color="auto" w:fill="auto"/>
            <w:vAlign w:val="center"/>
          </w:tcPr>
          <w:p>
            <w:pPr>
              <w:snapToGrid w:val="0"/>
              <w:jc w:val="both"/>
              <w:rPr>
                <w:rFonts w:hint="eastAsia" w:ascii="仿宋" w:hAnsi="仿宋" w:eastAsia="仿宋" w:cs="仿宋"/>
                <w:sz w:val="24"/>
                <w:szCs w:val="24"/>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仿宋" w:hAnsi="仿宋" w:eastAsia="仿宋" w:cs="仿宋"/>
          <w:sz w:val="28"/>
          <w:szCs w:val="28"/>
        </w:rPr>
      </w:pPr>
      <w:r>
        <w:rPr>
          <w:rFonts w:hint="eastAsia" w:ascii="仿宋" w:hAnsi="仿宋" w:eastAsia="仿宋" w:cs="仿宋"/>
          <w:sz w:val="28"/>
          <w:szCs w:val="28"/>
        </w:rPr>
        <w:t>日    期：</w:t>
      </w:r>
    </w:p>
    <w:p>
      <w:pPr>
        <w:rPr>
          <w:rFonts w:hint="eastAsia" w:ascii="仿宋" w:hAnsi="仿宋" w:eastAsia="仿宋" w:cs="仿宋"/>
          <w:sz w:val="28"/>
          <w:szCs w:val="28"/>
        </w:rPr>
      </w:pPr>
    </w:p>
    <w:p>
      <w:pPr>
        <w:rPr>
          <w:rFonts w:ascii="宋体" w:hAnsi="宋体"/>
          <w:sz w:val="28"/>
          <w:szCs w:val="28"/>
        </w:rPr>
      </w:pP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eastAsia="zh-CN"/>
        </w:rPr>
        <w:t>附件</w:t>
      </w:r>
      <w:r>
        <w:rPr>
          <w:rFonts w:hint="eastAsia" w:ascii="仿宋" w:hAnsi="仿宋" w:eastAsia="仿宋" w:cs="仿宋"/>
          <w:b w:val="0"/>
          <w:sz w:val="28"/>
          <w:szCs w:val="28"/>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hint="eastAsia" w:ascii="宋体" w:hAnsi="宋体"/>
          <w:sz w:val="24"/>
          <w:szCs w:val="24"/>
          <w:lang w:val="en-US" w:eastAsia="zh-CN"/>
        </w:rPr>
      </w:pPr>
      <w:r>
        <w:rPr>
          <w:rFonts w:hint="eastAsia" w:ascii="仿宋" w:hAnsi="仿宋" w:eastAsia="仿宋" w:cs="仿宋"/>
          <w:sz w:val="28"/>
          <w:szCs w:val="28"/>
        </w:rPr>
        <w:t>日    期：</w:t>
      </w:r>
    </w:p>
    <w:p>
      <w:pPr>
        <w:pStyle w:val="3"/>
        <w:spacing w:after="0" w:line="240" w:lineRule="auto"/>
        <w:jc w:val="left"/>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附件10：投标人资格证明与案例情况（近三年，需附证明文件）</w:t>
      </w:r>
    </w:p>
    <w:p>
      <w:pPr>
        <w:numPr>
          <w:ilvl w:val="0"/>
          <w:numId w:val="28"/>
        </w:num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 w:hAnsi="仿宋" w:eastAsia="仿宋" w:cs="仿宋"/>
          <w:b w:val="0"/>
          <w:sz w:val="28"/>
          <w:szCs w:val="28"/>
          <w:highlight w:val="none"/>
          <w:lang w:val="en-US" w:eastAsia="zh-CN"/>
        </w:rPr>
      </w:pPr>
      <w:r>
        <w:rPr>
          <w:rFonts w:hint="eastAsia" w:ascii="仿宋" w:hAnsi="仿宋" w:eastAsia="仿宋" w:cs="仿宋"/>
          <w:b w:val="0"/>
          <w:sz w:val="28"/>
          <w:szCs w:val="28"/>
          <w:highlight w:val="none"/>
          <w:lang w:val="en-US" w:eastAsia="zh-CN"/>
        </w:rPr>
        <w:t>注：复印件作为附页。</w:t>
      </w:r>
    </w:p>
    <w:p>
      <w:pPr>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二、案例情况说明</w:t>
      </w:r>
    </w:p>
    <w:tbl>
      <w:tblPr>
        <w:tblStyle w:val="33"/>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2"/>
                <w:szCs w:val="22"/>
                <w:u w:val="none"/>
                <w:lang w:val="en-US" w:eastAsia="zh-CN" w:bidi="ar"/>
              </w:rPr>
            </w:pPr>
            <w:r>
              <w:rPr>
                <w:rFonts w:hint="eastAsia" w:ascii="仿宋" w:hAnsi="仿宋" w:eastAsia="仿宋" w:cs="仿宋"/>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微软雅黑" w:hAnsi="微软雅黑" w:eastAsia="微软雅黑" w:cs="微软雅黑"/>
                <w:b w:val="0"/>
                <w:i w:val="0"/>
                <w:caps w:val="0"/>
                <w:color w:val="000000"/>
                <w:spacing w:val="0"/>
                <w:sz w:val="21"/>
                <w:szCs w:val="21"/>
                <w:shd w:val="clear" w:fill="FFFFFF"/>
                <w:vertAlign w:val="baseline"/>
                <w:lang w:val="en-US" w:eastAsia="zh-CN"/>
              </w:rPr>
            </w:pPr>
          </w:p>
        </w:tc>
      </w:tr>
    </w:tbl>
    <w:p>
      <w:pPr>
        <w:tabs>
          <w:tab w:val="left" w:pos="3960"/>
        </w:tabs>
        <w:rPr>
          <w:rFonts w:hint="eastAsia" w:ascii="仿宋" w:hAnsi="仿宋" w:eastAsia="仿宋" w:cs="仿宋"/>
          <w:sz w:val="28"/>
          <w:szCs w:val="28"/>
        </w:rPr>
      </w:pPr>
    </w:p>
    <w:p>
      <w:pPr>
        <w:tabs>
          <w:tab w:val="left" w:pos="3960"/>
        </w:tabs>
        <w:rPr>
          <w:rFonts w:hint="eastAsia" w:ascii="仿宋" w:hAnsi="仿宋" w:eastAsia="仿宋" w:cs="仿宋"/>
          <w:sz w:val="28"/>
          <w:szCs w:val="28"/>
        </w:rPr>
      </w:pPr>
      <w:r>
        <w:rPr>
          <w:rFonts w:hint="eastAsia" w:ascii="仿宋" w:hAnsi="仿宋" w:eastAsia="仿宋" w:cs="仿宋"/>
          <w:sz w:val="28"/>
          <w:szCs w:val="28"/>
        </w:rPr>
        <w:t>投 标 人（法人公章）：</w:t>
      </w:r>
    </w:p>
    <w:p>
      <w:pPr>
        <w:tabs>
          <w:tab w:val="left" w:pos="3960"/>
        </w:tabs>
        <w:rPr>
          <w:rFonts w:hint="eastAsia" w:ascii="仿宋" w:hAnsi="仿宋" w:eastAsia="仿宋" w:cs="仿宋"/>
          <w:sz w:val="28"/>
          <w:szCs w:val="28"/>
        </w:rPr>
      </w:pPr>
      <w:r>
        <w:rPr>
          <w:rFonts w:hint="eastAsia" w:ascii="仿宋" w:hAnsi="仿宋" w:eastAsia="仿宋" w:cs="仿宋"/>
          <w:sz w:val="28"/>
          <w:szCs w:val="28"/>
        </w:rPr>
        <w:t>法定代表人（或授权代表人）：</w:t>
      </w:r>
    </w:p>
    <w:p>
      <w:pPr>
        <w:tabs>
          <w:tab w:val="left" w:pos="3960"/>
        </w:tabs>
        <w:rPr>
          <w:rFonts w:ascii="宋体" w:hAnsi="宋体"/>
          <w:sz w:val="28"/>
          <w:szCs w:val="28"/>
        </w:rPr>
      </w:pPr>
      <w:r>
        <w:rPr>
          <w:rFonts w:hint="eastAsia" w:ascii="仿宋" w:hAnsi="仿宋" w:eastAsia="仿宋" w:cs="仿宋"/>
          <w:sz w:val="28"/>
          <w:szCs w:val="28"/>
        </w:rPr>
        <w:t>日    期：</w:t>
      </w:r>
    </w:p>
    <w:p>
      <w:pPr>
        <w:rPr>
          <w:rFonts w:hint="eastAsia" w:ascii="微软雅黑" w:hAnsi="微软雅黑" w:eastAsia="微软雅黑" w:cs="微软雅黑"/>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0D506"/>
    <w:multiLevelType w:val="singleLevel"/>
    <w:tmpl w:val="87C0D506"/>
    <w:lvl w:ilvl="0" w:tentative="0">
      <w:start w:val="1"/>
      <w:numFmt w:val="chineseCounting"/>
      <w:suff w:val="nothing"/>
      <w:lvlText w:val="%1、"/>
      <w:lvlJc w:val="left"/>
      <w:rPr>
        <w:rFonts w:hint="eastAsia"/>
      </w:rPr>
    </w:lvl>
  </w:abstractNum>
  <w:abstractNum w:abstractNumId="1">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2">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4">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9BCCF"/>
    <w:multiLevelType w:val="singleLevel"/>
    <w:tmpl w:val="5279BCCF"/>
    <w:lvl w:ilvl="0" w:tentative="0">
      <w:start w:val="1"/>
      <w:numFmt w:val="chineseCounting"/>
      <w:suff w:val="nothing"/>
      <w:lvlText w:val="%1、"/>
      <w:lvlJc w:val="left"/>
    </w:lvl>
  </w:abstractNum>
  <w:abstractNum w:abstractNumId="6">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7">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8">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9">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5">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6">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2">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3">
    <w:nsid w:val="5983032A"/>
    <w:multiLevelType w:val="singleLevel"/>
    <w:tmpl w:val="5983032A"/>
    <w:lvl w:ilvl="0" w:tentative="0">
      <w:start w:val="2"/>
      <w:numFmt w:val="chineseCounting"/>
      <w:suff w:val="nothing"/>
      <w:lvlText w:val="%1、"/>
      <w:lvlJc w:val="left"/>
    </w:lvl>
  </w:abstractNum>
  <w:abstractNum w:abstractNumId="24">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5">
    <w:nsid w:val="5987D065"/>
    <w:multiLevelType w:val="singleLevel"/>
    <w:tmpl w:val="5987D065"/>
    <w:lvl w:ilvl="0" w:tentative="0">
      <w:start w:val="1"/>
      <w:numFmt w:val="chineseCounting"/>
      <w:suff w:val="nothing"/>
      <w:lvlText w:val="%1、"/>
      <w:lvlJc w:val="left"/>
    </w:lvl>
  </w:abstractNum>
  <w:abstractNum w:abstractNumId="26">
    <w:nsid w:val="5987D4BA"/>
    <w:multiLevelType w:val="singleLevel"/>
    <w:tmpl w:val="5987D4BA"/>
    <w:lvl w:ilvl="0" w:tentative="0">
      <w:start w:val="2"/>
      <w:numFmt w:val="chineseCounting"/>
      <w:suff w:val="nothing"/>
      <w:lvlText w:val="（%1）"/>
      <w:lvlJc w:val="left"/>
    </w:lvl>
  </w:abstractNum>
  <w:abstractNum w:abstractNumId="27">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2"/>
  </w:num>
  <w:num w:numId="2">
    <w:abstractNumId w:val="7"/>
  </w:num>
  <w:num w:numId="3">
    <w:abstractNumId w:val="6"/>
  </w:num>
  <w:num w:numId="4">
    <w:abstractNumId w:val="9"/>
  </w:num>
  <w:num w:numId="5">
    <w:abstractNumId w:val="10"/>
  </w:num>
  <w:num w:numId="6">
    <w:abstractNumId w:val="11"/>
  </w:num>
  <w:num w:numId="7">
    <w:abstractNumId w:val="8"/>
  </w:num>
  <w:num w:numId="8">
    <w:abstractNumId w:val="12"/>
  </w:num>
  <w:num w:numId="9">
    <w:abstractNumId w:val="13"/>
  </w:num>
  <w:num w:numId="10">
    <w:abstractNumId w:val="14"/>
  </w:num>
  <w:num w:numId="11">
    <w:abstractNumId w:val="1"/>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3"/>
  </w:num>
  <w:num w:numId="19">
    <w:abstractNumId w:val="5"/>
  </w:num>
  <w:num w:numId="20">
    <w:abstractNumId w:val="27"/>
  </w:num>
  <w:num w:numId="21">
    <w:abstractNumId w:val="21"/>
  </w:num>
  <w:num w:numId="22">
    <w:abstractNumId w:val="22"/>
  </w:num>
  <w:num w:numId="23">
    <w:abstractNumId w:val="23"/>
  </w:num>
  <w:num w:numId="24">
    <w:abstractNumId w:val="0"/>
  </w:num>
  <w:num w:numId="25">
    <w:abstractNumId w:val="26"/>
  </w:num>
  <w:num w:numId="26">
    <w:abstractNumId w:val="24"/>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03A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23F763D"/>
    <w:rsid w:val="02426FC4"/>
    <w:rsid w:val="024C138E"/>
    <w:rsid w:val="026003F1"/>
    <w:rsid w:val="02777751"/>
    <w:rsid w:val="02A067C4"/>
    <w:rsid w:val="02BA29F8"/>
    <w:rsid w:val="03140E87"/>
    <w:rsid w:val="031D6BFC"/>
    <w:rsid w:val="034435B9"/>
    <w:rsid w:val="03926FEA"/>
    <w:rsid w:val="03B46439"/>
    <w:rsid w:val="0412370F"/>
    <w:rsid w:val="043F6208"/>
    <w:rsid w:val="04694A39"/>
    <w:rsid w:val="04972F07"/>
    <w:rsid w:val="065A5568"/>
    <w:rsid w:val="068A58DD"/>
    <w:rsid w:val="06A2432A"/>
    <w:rsid w:val="06AC59D5"/>
    <w:rsid w:val="0756131A"/>
    <w:rsid w:val="0854497E"/>
    <w:rsid w:val="08AB3900"/>
    <w:rsid w:val="08E829EE"/>
    <w:rsid w:val="0A5237FA"/>
    <w:rsid w:val="0A781EBF"/>
    <w:rsid w:val="0AB43546"/>
    <w:rsid w:val="0AD164F5"/>
    <w:rsid w:val="0B836253"/>
    <w:rsid w:val="0BDC31DE"/>
    <w:rsid w:val="0C824CC4"/>
    <w:rsid w:val="0C904C0E"/>
    <w:rsid w:val="0D0514A7"/>
    <w:rsid w:val="0D1F1BB5"/>
    <w:rsid w:val="0D5D0AE8"/>
    <w:rsid w:val="0D8F2D46"/>
    <w:rsid w:val="0DAE5379"/>
    <w:rsid w:val="0DB16C2B"/>
    <w:rsid w:val="0DCB3E31"/>
    <w:rsid w:val="0E292EA5"/>
    <w:rsid w:val="0E3D072A"/>
    <w:rsid w:val="0E702D3B"/>
    <w:rsid w:val="0F8F770F"/>
    <w:rsid w:val="101F7A0E"/>
    <w:rsid w:val="10C776EF"/>
    <w:rsid w:val="11383706"/>
    <w:rsid w:val="12780A0F"/>
    <w:rsid w:val="12B9330F"/>
    <w:rsid w:val="131E3EC2"/>
    <w:rsid w:val="13B21DDF"/>
    <w:rsid w:val="13CF32F6"/>
    <w:rsid w:val="14044EE5"/>
    <w:rsid w:val="14193B86"/>
    <w:rsid w:val="142C5E3A"/>
    <w:rsid w:val="14A81FAA"/>
    <w:rsid w:val="14C71970"/>
    <w:rsid w:val="153C1171"/>
    <w:rsid w:val="15840E3F"/>
    <w:rsid w:val="15BA039F"/>
    <w:rsid w:val="15D64E1E"/>
    <w:rsid w:val="15E66256"/>
    <w:rsid w:val="16146916"/>
    <w:rsid w:val="16273CED"/>
    <w:rsid w:val="16975514"/>
    <w:rsid w:val="17F5625C"/>
    <w:rsid w:val="189D20F0"/>
    <w:rsid w:val="18B8785A"/>
    <w:rsid w:val="19474EE4"/>
    <w:rsid w:val="194D45C7"/>
    <w:rsid w:val="19961FDC"/>
    <w:rsid w:val="19A24DFE"/>
    <w:rsid w:val="19B33F22"/>
    <w:rsid w:val="1A0D3B58"/>
    <w:rsid w:val="1A201B89"/>
    <w:rsid w:val="1A2C4A64"/>
    <w:rsid w:val="1A523FB8"/>
    <w:rsid w:val="1A6C779C"/>
    <w:rsid w:val="1AE65EF1"/>
    <w:rsid w:val="1B5213EA"/>
    <w:rsid w:val="1B986C08"/>
    <w:rsid w:val="1C1A366B"/>
    <w:rsid w:val="1C762E6E"/>
    <w:rsid w:val="1C765BB9"/>
    <w:rsid w:val="1CA154E8"/>
    <w:rsid w:val="1CA45FE9"/>
    <w:rsid w:val="1D106803"/>
    <w:rsid w:val="1D6C0124"/>
    <w:rsid w:val="1DE24E96"/>
    <w:rsid w:val="1E6C1D9C"/>
    <w:rsid w:val="1FC00BA4"/>
    <w:rsid w:val="1FC25642"/>
    <w:rsid w:val="207B4430"/>
    <w:rsid w:val="207E05FA"/>
    <w:rsid w:val="207F7502"/>
    <w:rsid w:val="20D27DF1"/>
    <w:rsid w:val="20E022E2"/>
    <w:rsid w:val="2159297C"/>
    <w:rsid w:val="21895C02"/>
    <w:rsid w:val="21A3377D"/>
    <w:rsid w:val="221E3807"/>
    <w:rsid w:val="222B3CD6"/>
    <w:rsid w:val="23120D28"/>
    <w:rsid w:val="231C05A6"/>
    <w:rsid w:val="23D03A35"/>
    <w:rsid w:val="24B970CD"/>
    <w:rsid w:val="24DF4CB0"/>
    <w:rsid w:val="24EF1EC5"/>
    <w:rsid w:val="250A0639"/>
    <w:rsid w:val="25987B4A"/>
    <w:rsid w:val="25CF4249"/>
    <w:rsid w:val="262B1DED"/>
    <w:rsid w:val="26774072"/>
    <w:rsid w:val="27A24554"/>
    <w:rsid w:val="28506176"/>
    <w:rsid w:val="291C7581"/>
    <w:rsid w:val="292D78B9"/>
    <w:rsid w:val="29655ACD"/>
    <w:rsid w:val="2AC82D98"/>
    <w:rsid w:val="2B0F368C"/>
    <w:rsid w:val="2BE521BC"/>
    <w:rsid w:val="2CF57956"/>
    <w:rsid w:val="2CF80ADA"/>
    <w:rsid w:val="2D232E8B"/>
    <w:rsid w:val="2D4B2BCC"/>
    <w:rsid w:val="2DD67FBC"/>
    <w:rsid w:val="2DDE4DF1"/>
    <w:rsid w:val="2E4F5B52"/>
    <w:rsid w:val="2E5423C9"/>
    <w:rsid w:val="2E8C44A4"/>
    <w:rsid w:val="2ED63DAE"/>
    <w:rsid w:val="2F920070"/>
    <w:rsid w:val="2FA85CD6"/>
    <w:rsid w:val="2FBB56EA"/>
    <w:rsid w:val="2FCC0C6E"/>
    <w:rsid w:val="305717B6"/>
    <w:rsid w:val="31CF0A5D"/>
    <w:rsid w:val="32113DDD"/>
    <w:rsid w:val="32226E35"/>
    <w:rsid w:val="32544F91"/>
    <w:rsid w:val="32B51499"/>
    <w:rsid w:val="32D565D1"/>
    <w:rsid w:val="33D87D7E"/>
    <w:rsid w:val="3413415F"/>
    <w:rsid w:val="346D1CBC"/>
    <w:rsid w:val="34774473"/>
    <w:rsid w:val="34E770F3"/>
    <w:rsid w:val="35AA3AE9"/>
    <w:rsid w:val="35D54B9D"/>
    <w:rsid w:val="36961999"/>
    <w:rsid w:val="36E84250"/>
    <w:rsid w:val="36F0652C"/>
    <w:rsid w:val="373C6391"/>
    <w:rsid w:val="374977D6"/>
    <w:rsid w:val="3757480D"/>
    <w:rsid w:val="375E3FC2"/>
    <w:rsid w:val="3870013B"/>
    <w:rsid w:val="38B16AAF"/>
    <w:rsid w:val="38E17FBF"/>
    <w:rsid w:val="39DE5349"/>
    <w:rsid w:val="39E90411"/>
    <w:rsid w:val="3AC36277"/>
    <w:rsid w:val="3B1220D5"/>
    <w:rsid w:val="3B2C3D25"/>
    <w:rsid w:val="3BB039CA"/>
    <w:rsid w:val="3C077B24"/>
    <w:rsid w:val="3C95430B"/>
    <w:rsid w:val="3D0542A9"/>
    <w:rsid w:val="3DFA001C"/>
    <w:rsid w:val="3E2677C4"/>
    <w:rsid w:val="3EA95DD0"/>
    <w:rsid w:val="3F42799A"/>
    <w:rsid w:val="3FC20FCA"/>
    <w:rsid w:val="4075642E"/>
    <w:rsid w:val="4077181C"/>
    <w:rsid w:val="40837CC5"/>
    <w:rsid w:val="40F36ADA"/>
    <w:rsid w:val="411656A7"/>
    <w:rsid w:val="418A0B44"/>
    <w:rsid w:val="41A37CB9"/>
    <w:rsid w:val="42980C9A"/>
    <w:rsid w:val="42A542C4"/>
    <w:rsid w:val="43285D3E"/>
    <w:rsid w:val="438A492C"/>
    <w:rsid w:val="43B7463B"/>
    <w:rsid w:val="446B6756"/>
    <w:rsid w:val="448D0D5E"/>
    <w:rsid w:val="44E569B4"/>
    <w:rsid w:val="458925D9"/>
    <w:rsid w:val="458B155C"/>
    <w:rsid w:val="45D74323"/>
    <w:rsid w:val="45E83AD0"/>
    <w:rsid w:val="477375C7"/>
    <w:rsid w:val="48570EBF"/>
    <w:rsid w:val="486253FD"/>
    <w:rsid w:val="48CC29C2"/>
    <w:rsid w:val="49CC555F"/>
    <w:rsid w:val="49D25F5D"/>
    <w:rsid w:val="4A4D77BA"/>
    <w:rsid w:val="4A7D5BA6"/>
    <w:rsid w:val="4AF24664"/>
    <w:rsid w:val="4B48076E"/>
    <w:rsid w:val="4B4E2792"/>
    <w:rsid w:val="4BFA7A10"/>
    <w:rsid w:val="4C2A6415"/>
    <w:rsid w:val="4D391A3D"/>
    <w:rsid w:val="4DB578F6"/>
    <w:rsid w:val="4DD51292"/>
    <w:rsid w:val="4E8D29A3"/>
    <w:rsid w:val="4E933484"/>
    <w:rsid w:val="4E9553C8"/>
    <w:rsid w:val="4E9B37F3"/>
    <w:rsid w:val="4F431490"/>
    <w:rsid w:val="4FB55C78"/>
    <w:rsid w:val="4FD533B9"/>
    <w:rsid w:val="4FDF5118"/>
    <w:rsid w:val="5011782C"/>
    <w:rsid w:val="506D1992"/>
    <w:rsid w:val="50847E00"/>
    <w:rsid w:val="51634F7E"/>
    <w:rsid w:val="51A13730"/>
    <w:rsid w:val="520B41D4"/>
    <w:rsid w:val="520D4419"/>
    <w:rsid w:val="52386CE3"/>
    <w:rsid w:val="53EF7D85"/>
    <w:rsid w:val="53F82041"/>
    <w:rsid w:val="53FA6863"/>
    <w:rsid w:val="548D4A1C"/>
    <w:rsid w:val="54FE1F29"/>
    <w:rsid w:val="55D42C3A"/>
    <w:rsid w:val="56C32EC8"/>
    <w:rsid w:val="57435CB9"/>
    <w:rsid w:val="57952EED"/>
    <w:rsid w:val="581377A6"/>
    <w:rsid w:val="585F37C6"/>
    <w:rsid w:val="59537374"/>
    <w:rsid w:val="59A35BD0"/>
    <w:rsid w:val="5B3B60A4"/>
    <w:rsid w:val="5B46714E"/>
    <w:rsid w:val="5B5E5416"/>
    <w:rsid w:val="5B794029"/>
    <w:rsid w:val="5C006AA4"/>
    <w:rsid w:val="5C026E80"/>
    <w:rsid w:val="5C1F5633"/>
    <w:rsid w:val="5C5D0EEE"/>
    <w:rsid w:val="5C8247F7"/>
    <w:rsid w:val="5DBA4654"/>
    <w:rsid w:val="5DF20031"/>
    <w:rsid w:val="5F2D2E24"/>
    <w:rsid w:val="60D470B0"/>
    <w:rsid w:val="60F2286C"/>
    <w:rsid w:val="61133F18"/>
    <w:rsid w:val="612A7E43"/>
    <w:rsid w:val="61357C86"/>
    <w:rsid w:val="614A23AF"/>
    <w:rsid w:val="61590E72"/>
    <w:rsid w:val="615B0D1E"/>
    <w:rsid w:val="615B5C92"/>
    <w:rsid w:val="61771EE8"/>
    <w:rsid w:val="61C03AA5"/>
    <w:rsid w:val="61DC7A24"/>
    <w:rsid w:val="620D2536"/>
    <w:rsid w:val="62625A67"/>
    <w:rsid w:val="62626C23"/>
    <w:rsid w:val="628402D0"/>
    <w:rsid w:val="63C24B0A"/>
    <w:rsid w:val="63DE5387"/>
    <w:rsid w:val="64014DC5"/>
    <w:rsid w:val="6410508E"/>
    <w:rsid w:val="641D0F13"/>
    <w:rsid w:val="643829A8"/>
    <w:rsid w:val="646C6FE8"/>
    <w:rsid w:val="64C03B57"/>
    <w:rsid w:val="65761FCC"/>
    <w:rsid w:val="65906DEB"/>
    <w:rsid w:val="65C15915"/>
    <w:rsid w:val="65CB08AD"/>
    <w:rsid w:val="65F3029E"/>
    <w:rsid w:val="660D3DB9"/>
    <w:rsid w:val="661012CB"/>
    <w:rsid w:val="662F65D4"/>
    <w:rsid w:val="66A3741E"/>
    <w:rsid w:val="66B614FB"/>
    <w:rsid w:val="66C478CB"/>
    <w:rsid w:val="681E7AD8"/>
    <w:rsid w:val="685C0B24"/>
    <w:rsid w:val="68961AFB"/>
    <w:rsid w:val="6904590E"/>
    <w:rsid w:val="698C591D"/>
    <w:rsid w:val="6A0D0F70"/>
    <w:rsid w:val="6A1A03AA"/>
    <w:rsid w:val="6A394651"/>
    <w:rsid w:val="6A5945F9"/>
    <w:rsid w:val="6AA66486"/>
    <w:rsid w:val="6AA94832"/>
    <w:rsid w:val="6B4E7C02"/>
    <w:rsid w:val="6B533323"/>
    <w:rsid w:val="6B7A7AE3"/>
    <w:rsid w:val="6C325E7E"/>
    <w:rsid w:val="6D530806"/>
    <w:rsid w:val="6DCF5B68"/>
    <w:rsid w:val="6E973570"/>
    <w:rsid w:val="6ED00995"/>
    <w:rsid w:val="6F767EFE"/>
    <w:rsid w:val="6FFB0052"/>
    <w:rsid w:val="6FFD455A"/>
    <w:rsid w:val="70144C41"/>
    <w:rsid w:val="7015082B"/>
    <w:rsid w:val="703C2F5B"/>
    <w:rsid w:val="704F3FE3"/>
    <w:rsid w:val="7056024D"/>
    <w:rsid w:val="70962A58"/>
    <w:rsid w:val="71160067"/>
    <w:rsid w:val="71382591"/>
    <w:rsid w:val="7160603B"/>
    <w:rsid w:val="71C13224"/>
    <w:rsid w:val="71F91A05"/>
    <w:rsid w:val="72181D1E"/>
    <w:rsid w:val="72412981"/>
    <w:rsid w:val="7251629D"/>
    <w:rsid w:val="72516DE5"/>
    <w:rsid w:val="73176CA4"/>
    <w:rsid w:val="735D191F"/>
    <w:rsid w:val="736A23E7"/>
    <w:rsid w:val="73803BE2"/>
    <w:rsid w:val="740B1955"/>
    <w:rsid w:val="74833A17"/>
    <w:rsid w:val="74AE0429"/>
    <w:rsid w:val="74CC4F09"/>
    <w:rsid w:val="75237E76"/>
    <w:rsid w:val="755C32F4"/>
    <w:rsid w:val="758F565B"/>
    <w:rsid w:val="76164B6D"/>
    <w:rsid w:val="76D02233"/>
    <w:rsid w:val="78BB5630"/>
    <w:rsid w:val="79311880"/>
    <w:rsid w:val="79B15FA2"/>
    <w:rsid w:val="7A022E0D"/>
    <w:rsid w:val="7A826731"/>
    <w:rsid w:val="7AF30168"/>
    <w:rsid w:val="7B1633FD"/>
    <w:rsid w:val="7B5675BC"/>
    <w:rsid w:val="7C0619D3"/>
    <w:rsid w:val="7C35538A"/>
    <w:rsid w:val="7C7C41DC"/>
    <w:rsid w:val="7CCB2628"/>
    <w:rsid w:val="7D4B6CF2"/>
    <w:rsid w:val="7DA16CB7"/>
    <w:rsid w:val="7DC86131"/>
    <w:rsid w:val="7DC90FFE"/>
    <w:rsid w:val="7DCD64E1"/>
    <w:rsid w:val="7DEA337D"/>
    <w:rsid w:val="7E834979"/>
    <w:rsid w:val="7ED73662"/>
    <w:rsid w:val="7EDB6AD5"/>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qFormat/>
    <w:uiPriority w:val="0"/>
    <w:rPr>
      <w:rFonts w:hint="default" w:ascii="Arial" w:hAnsi="Arial" w:cs="Arial"/>
      <w:color w:val="000000"/>
      <w:sz w:val="20"/>
      <w:szCs w:val="20"/>
      <w:u w:val="none"/>
    </w:rPr>
  </w:style>
  <w:style w:type="character" w:customStyle="1" w:styleId="122">
    <w:name w:val="font61"/>
    <w:qFormat/>
    <w:uiPriority w:val="0"/>
    <w:rPr>
      <w:rFonts w:hint="eastAsia" w:ascii="宋体" w:hAnsi="宋体" w:eastAsia="宋体"/>
      <w:color w:val="000000"/>
      <w:sz w:val="20"/>
      <w:szCs w:val="20"/>
      <w:u w:val="none"/>
    </w:rPr>
  </w:style>
  <w:style w:type="paragraph" w:styleId="1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48</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2021-11-29T01:11:02Z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